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3B0F" w:rsidRPr="006F23A0" w:rsidRDefault="00FC3B0F" w:rsidP="00FC3B0F">
      <w:pPr>
        <w:rPr>
          <w:rFonts w:ascii="Times New Roman" w:hAnsi="Times New Roman" w:cs="Times New Roman"/>
          <w:sz w:val="32"/>
          <w:szCs w:val="32"/>
          <w:lang w:val="fr-CH"/>
        </w:rPr>
      </w:pPr>
      <w:r w:rsidRPr="006F23A0">
        <w:rPr>
          <w:rFonts w:ascii="Times New Roman" w:hAnsi="Times New Roman" w:cs="Times New Roman"/>
          <w:sz w:val="32"/>
          <w:szCs w:val="32"/>
          <w:lang w:val="fr-CH"/>
        </w:rPr>
        <w:t>Opinion</w:t>
      </w:r>
    </w:p>
    <w:p w:rsidR="00FC3B0F" w:rsidRPr="00FC3B0F" w:rsidRDefault="00FC3B0F" w:rsidP="00FC3B0F">
      <w:pPr>
        <w:rPr>
          <w:rFonts w:ascii="Times New Roman" w:hAnsi="Times New Roman" w:cs="Times New Roman"/>
          <w:sz w:val="32"/>
          <w:szCs w:val="32"/>
        </w:rPr>
      </w:pPr>
      <w:r w:rsidRPr="006F23A0">
        <w:rPr>
          <w:rFonts w:ascii="Times New Roman" w:hAnsi="Times New Roman" w:cs="Times New Roman"/>
          <w:sz w:val="32"/>
          <w:szCs w:val="32"/>
          <w:lang w:val="fr-CH"/>
        </w:rPr>
        <w:t xml:space="preserve">Amelia Licheva en vue de l'obtention du titre de docteur en éducation dans le domaine de l'enseignement supérieur 2. </w:t>
      </w:r>
      <w:r w:rsidRPr="00FC3B0F">
        <w:rPr>
          <w:rFonts w:ascii="Times New Roman" w:hAnsi="Times New Roman" w:cs="Times New Roman"/>
          <w:sz w:val="32"/>
          <w:szCs w:val="32"/>
        </w:rPr>
        <w:t>Sciences humaines</w:t>
      </w:r>
    </w:p>
    <w:p w:rsidR="00FC3B0F" w:rsidRPr="00D070F7" w:rsidRDefault="00FC3B0F" w:rsidP="00FC3B0F">
      <w:pPr>
        <w:rPr>
          <w:rFonts w:ascii="Times New Roman" w:hAnsi="Times New Roman" w:cs="Times New Roman"/>
          <w:sz w:val="32"/>
          <w:szCs w:val="32"/>
          <w:lang w:val="fr-CH"/>
        </w:rPr>
      </w:pPr>
      <w:r w:rsidRPr="00D070F7">
        <w:rPr>
          <w:rFonts w:ascii="Times New Roman" w:hAnsi="Times New Roman" w:cs="Times New Roman"/>
          <w:sz w:val="32"/>
          <w:szCs w:val="32"/>
          <w:lang w:val="fr-CH"/>
        </w:rPr>
        <w:t>Domaine professionnel 2.1. Littérature des peuples d'Europe, d'Afrique, d'Amérique, d'Asie et d'Australie</w:t>
      </w:r>
    </w:p>
    <w:p w:rsidR="00FC3B0F" w:rsidRPr="00FC3B0F" w:rsidRDefault="00FC3B0F" w:rsidP="00FC3B0F">
      <w:pPr>
        <w:rPr>
          <w:rFonts w:ascii="Times New Roman" w:hAnsi="Times New Roman" w:cs="Times New Roman"/>
          <w:sz w:val="32"/>
          <w:szCs w:val="32"/>
        </w:rPr>
      </w:pPr>
      <w:r w:rsidRPr="00FC3B0F">
        <w:rPr>
          <w:rFonts w:ascii="Times New Roman" w:hAnsi="Times New Roman" w:cs="Times New Roman"/>
          <w:sz w:val="32"/>
          <w:szCs w:val="32"/>
        </w:rPr>
        <w:t>(Littérature suisse romande)</w:t>
      </w:r>
    </w:p>
    <w:p w:rsidR="00FC3B0F" w:rsidRPr="00D070F7" w:rsidRDefault="00FC3B0F" w:rsidP="00FC3B0F">
      <w:pPr>
        <w:rPr>
          <w:rFonts w:ascii="Times New Roman" w:hAnsi="Times New Roman" w:cs="Times New Roman"/>
          <w:sz w:val="32"/>
          <w:szCs w:val="32"/>
          <w:lang w:val="fr-CH"/>
        </w:rPr>
      </w:pPr>
      <w:r w:rsidRPr="00D070F7">
        <w:rPr>
          <w:rFonts w:ascii="Times New Roman" w:hAnsi="Times New Roman" w:cs="Times New Roman"/>
          <w:sz w:val="32"/>
          <w:szCs w:val="32"/>
          <w:lang w:val="fr-CH"/>
        </w:rPr>
        <w:t>Doctorante : Stiliyana Petkova</w:t>
      </w:r>
    </w:p>
    <w:p w:rsidR="00FC3B0F" w:rsidRPr="00D070F7" w:rsidRDefault="00FC3B0F" w:rsidP="00FC3B0F">
      <w:pPr>
        <w:rPr>
          <w:rFonts w:ascii="Times New Roman" w:hAnsi="Times New Roman" w:cs="Times New Roman"/>
          <w:sz w:val="32"/>
          <w:szCs w:val="32"/>
          <w:lang w:val="fr-CH"/>
        </w:rPr>
      </w:pPr>
      <w:r w:rsidRPr="00D070F7">
        <w:rPr>
          <w:rFonts w:ascii="Times New Roman" w:hAnsi="Times New Roman" w:cs="Times New Roman"/>
          <w:sz w:val="32"/>
          <w:szCs w:val="32"/>
          <w:lang w:val="fr-CH"/>
        </w:rPr>
        <w:t>Directeur de thèse : Prof. Dr. Reni Yotova</w:t>
      </w:r>
    </w:p>
    <w:p w:rsidR="00027C6A" w:rsidRPr="006F23A0" w:rsidRDefault="00FC3B0F" w:rsidP="00FC3B0F">
      <w:pPr>
        <w:rPr>
          <w:rFonts w:ascii="Times New Roman" w:hAnsi="Times New Roman" w:cs="Times New Roman"/>
          <w:sz w:val="32"/>
          <w:szCs w:val="32"/>
          <w:lang w:val="fr-CH"/>
        </w:rPr>
      </w:pPr>
      <w:r w:rsidRPr="006F23A0">
        <w:rPr>
          <w:rFonts w:ascii="Times New Roman" w:hAnsi="Times New Roman" w:cs="Times New Roman"/>
          <w:sz w:val="32"/>
          <w:szCs w:val="32"/>
          <w:lang w:val="fr-CH"/>
        </w:rPr>
        <w:t xml:space="preserve">"L'altérité comme </w:t>
      </w:r>
      <w:r w:rsidR="006F23A0">
        <w:rPr>
          <w:rFonts w:ascii="Times New Roman" w:hAnsi="Times New Roman" w:cs="Times New Roman"/>
          <w:sz w:val="32"/>
          <w:szCs w:val="32"/>
          <w:lang w:val="fr-CH"/>
        </w:rPr>
        <w:t xml:space="preserve">un </w:t>
      </w:r>
      <w:r w:rsidRPr="006F23A0">
        <w:rPr>
          <w:rFonts w:ascii="Times New Roman" w:hAnsi="Times New Roman" w:cs="Times New Roman"/>
          <w:sz w:val="32"/>
          <w:szCs w:val="32"/>
          <w:lang w:val="fr-CH"/>
        </w:rPr>
        <w:t xml:space="preserve">leitmotiv </w:t>
      </w:r>
      <w:r w:rsidR="006F23A0">
        <w:rPr>
          <w:rFonts w:ascii="Times New Roman" w:hAnsi="Times New Roman" w:cs="Times New Roman"/>
          <w:sz w:val="32"/>
          <w:szCs w:val="32"/>
          <w:lang w:val="fr-CH"/>
        </w:rPr>
        <w:t>de</w:t>
      </w:r>
      <w:r w:rsidRPr="006F23A0">
        <w:rPr>
          <w:rFonts w:ascii="Times New Roman" w:hAnsi="Times New Roman" w:cs="Times New Roman"/>
          <w:sz w:val="32"/>
          <w:szCs w:val="32"/>
          <w:lang w:val="fr-CH"/>
        </w:rPr>
        <w:t xml:space="preserve"> </w:t>
      </w:r>
      <w:r w:rsidR="006F23A0">
        <w:rPr>
          <w:rFonts w:ascii="Times New Roman" w:hAnsi="Times New Roman" w:cs="Times New Roman"/>
          <w:sz w:val="32"/>
          <w:szCs w:val="32"/>
          <w:lang w:val="fr-CH"/>
        </w:rPr>
        <w:t>l’élaboration des figures</w:t>
      </w:r>
      <w:r w:rsidRPr="006F23A0">
        <w:rPr>
          <w:rFonts w:ascii="Times New Roman" w:hAnsi="Times New Roman" w:cs="Times New Roman"/>
          <w:sz w:val="32"/>
          <w:szCs w:val="32"/>
          <w:lang w:val="fr-CH"/>
        </w:rPr>
        <w:t xml:space="preserve"> féminine</w:t>
      </w:r>
      <w:r w:rsidR="006F23A0">
        <w:rPr>
          <w:rFonts w:ascii="Times New Roman" w:hAnsi="Times New Roman" w:cs="Times New Roman"/>
          <w:sz w:val="32"/>
          <w:szCs w:val="32"/>
          <w:lang w:val="fr-CH"/>
        </w:rPr>
        <w:t>s :</w:t>
      </w:r>
      <w:r w:rsidRPr="006F23A0">
        <w:rPr>
          <w:rFonts w:ascii="Times New Roman" w:hAnsi="Times New Roman" w:cs="Times New Roman"/>
          <w:sz w:val="32"/>
          <w:szCs w:val="32"/>
          <w:lang w:val="fr-CH"/>
        </w:rPr>
        <w:t xml:space="preserve"> </w:t>
      </w:r>
      <w:r w:rsidR="006F23A0">
        <w:rPr>
          <w:rFonts w:ascii="Times New Roman" w:hAnsi="Times New Roman" w:cs="Times New Roman"/>
          <w:sz w:val="32"/>
          <w:szCs w:val="32"/>
          <w:lang w:val="fr-CH"/>
        </w:rPr>
        <w:t>l</w:t>
      </w:r>
      <w:r w:rsidRPr="006F23A0">
        <w:rPr>
          <w:rFonts w:ascii="Times New Roman" w:hAnsi="Times New Roman" w:cs="Times New Roman"/>
          <w:sz w:val="32"/>
          <w:szCs w:val="32"/>
          <w:lang w:val="fr-CH"/>
        </w:rPr>
        <w:t xml:space="preserve">'œuvre de </w:t>
      </w:r>
      <w:r w:rsidR="006F23A0">
        <w:rPr>
          <w:rFonts w:ascii="Times New Roman" w:hAnsi="Times New Roman" w:cs="Times New Roman"/>
          <w:sz w:val="32"/>
          <w:szCs w:val="32"/>
          <w:lang w:val="fr-CH"/>
        </w:rPr>
        <w:t xml:space="preserve">S. </w:t>
      </w:r>
      <w:bookmarkStart w:id="0" w:name="_GoBack"/>
      <w:bookmarkEnd w:id="0"/>
      <w:r w:rsidRPr="006F23A0">
        <w:rPr>
          <w:rFonts w:ascii="Times New Roman" w:hAnsi="Times New Roman" w:cs="Times New Roman"/>
          <w:sz w:val="32"/>
          <w:szCs w:val="32"/>
          <w:lang w:val="fr-CH"/>
        </w:rPr>
        <w:t>Corinna B</w:t>
      </w:r>
      <w:r w:rsidR="006F23A0">
        <w:rPr>
          <w:rFonts w:ascii="Times New Roman" w:hAnsi="Times New Roman" w:cs="Times New Roman"/>
          <w:sz w:val="32"/>
          <w:szCs w:val="32"/>
          <w:lang w:val="fr-CH"/>
        </w:rPr>
        <w:t>ille</w:t>
      </w:r>
      <w:r w:rsidRPr="006F23A0">
        <w:rPr>
          <w:rFonts w:ascii="Times New Roman" w:hAnsi="Times New Roman" w:cs="Times New Roman"/>
          <w:sz w:val="32"/>
          <w:szCs w:val="32"/>
          <w:lang w:val="fr-CH"/>
        </w:rPr>
        <w:t>, Monique L</w:t>
      </w:r>
      <w:r w:rsidR="006F23A0">
        <w:rPr>
          <w:rFonts w:ascii="Times New Roman" w:hAnsi="Times New Roman" w:cs="Times New Roman"/>
          <w:sz w:val="32"/>
          <w:szCs w:val="32"/>
          <w:lang w:val="fr-CH"/>
        </w:rPr>
        <w:t>a</w:t>
      </w:r>
      <w:r w:rsidRPr="006F23A0">
        <w:rPr>
          <w:rFonts w:ascii="Times New Roman" w:hAnsi="Times New Roman" w:cs="Times New Roman"/>
          <w:sz w:val="32"/>
          <w:szCs w:val="32"/>
          <w:lang w:val="fr-CH"/>
        </w:rPr>
        <w:t>ederac</w:t>
      </w:r>
      <w:r w:rsidR="006F23A0">
        <w:rPr>
          <w:rFonts w:ascii="Times New Roman" w:hAnsi="Times New Roman" w:cs="Times New Roman"/>
          <w:sz w:val="32"/>
          <w:szCs w:val="32"/>
          <w:lang w:val="fr-CH"/>
        </w:rPr>
        <w:t>h</w:t>
      </w:r>
      <w:r w:rsidRPr="006F23A0">
        <w:rPr>
          <w:rFonts w:ascii="Times New Roman" w:hAnsi="Times New Roman" w:cs="Times New Roman"/>
          <w:sz w:val="32"/>
          <w:szCs w:val="32"/>
          <w:lang w:val="fr-CH"/>
        </w:rPr>
        <w:t xml:space="preserve"> et Anne-Lise Grob</w:t>
      </w:r>
      <w:r w:rsidR="006F23A0">
        <w:rPr>
          <w:rFonts w:ascii="Times New Roman" w:hAnsi="Times New Roman" w:cs="Times New Roman"/>
          <w:sz w:val="32"/>
          <w:szCs w:val="32"/>
          <w:lang w:val="fr-CH"/>
        </w:rPr>
        <w:t>éty</w:t>
      </w:r>
      <w:r w:rsidR="006F23A0" w:rsidRPr="00D070F7">
        <w:rPr>
          <w:rFonts w:ascii="Times New Roman" w:hAnsi="Times New Roman" w:cs="Times New Roman"/>
          <w:sz w:val="32"/>
          <w:szCs w:val="32"/>
          <w:lang w:val="fr-CH"/>
        </w:rPr>
        <w:t>"</w:t>
      </w:r>
      <w:r w:rsidRPr="006F23A0">
        <w:rPr>
          <w:rFonts w:ascii="Times New Roman" w:hAnsi="Times New Roman" w:cs="Times New Roman"/>
          <w:sz w:val="32"/>
          <w:szCs w:val="32"/>
          <w:lang w:val="fr-CH"/>
        </w:rPr>
        <w:t>.</w:t>
      </w:r>
    </w:p>
    <w:p w:rsidR="00FC3B0F" w:rsidRPr="006F23A0" w:rsidRDefault="00FC3B0F" w:rsidP="00FC3B0F">
      <w:pPr>
        <w:rPr>
          <w:rFonts w:ascii="Times New Roman" w:hAnsi="Times New Roman" w:cs="Times New Roman"/>
          <w:sz w:val="32"/>
          <w:szCs w:val="32"/>
          <w:lang w:val="fr-CH"/>
        </w:rPr>
      </w:pPr>
    </w:p>
    <w:p w:rsidR="00FC3B0F" w:rsidRPr="006F23A0" w:rsidRDefault="00FC3B0F" w:rsidP="00FC3B0F">
      <w:pPr>
        <w:rPr>
          <w:rFonts w:ascii="Times New Roman" w:hAnsi="Times New Roman" w:cs="Times New Roman"/>
          <w:sz w:val="32"/>
          <w:szCs w:val="32"/>
          <w:lang w:val="fr-CH"/>
        </w:rPr>
      </w:pPr>
    </w:p>
    <w:p w:rsidR="00FC3B0F" w:rsidRPr="00D070F7" w:rsidRDefault="00FC3B0F" w:rsidP="00FC3B0F">
      <w:pPr>
        <w:rPr>
          <w:rFonts w:ascii="Times New Roman" w:hAnsi="Times New Roman" w:cs="Times New Roman"/>
          <w:sz w:val="32"/>
          <w:szCs w:val="32"/>
          <w:lang w:val="fr-CH"/>
        </w:rPr>
      </w:pPr>
      <w:r w:rsidRPr="00D070F7">
        <w:rPr>
          <w:rFonts w:ascii="Times New Roman" w:hAnsi="Times New Roman" w:cs="Times New Roman"/>
          <w:sz w:val="32"/>
          <w:szCs w:val="32"/>
          <w:lang w:val="fr-CH"/>
        </w:rPr>
        <w:t>La doctorante Styliana Petkova ne se contente pas de satisfaire aux exigences nationales minimales pour l'obtention du diplôme de "docteur", mais elle les dépasse. Les publications proposées dépassent largement le minimum requis et ont été publiées dans des revues prestigieuses. Le résumé a sa propre valeur et présente les idées et le contenu du texte d'une manière extrêmement correcte et détaillée. La thèse elle-même est rédigée en français et se compose d'une introduction, de 4 parties comprenant un total de 14 chapitres avec des conclusions intermédiaires, d'une conclusion, d'une bibliographie et d'annexes. Le travail comprend 500 pages, dont 444 pages de texte principal et 56 pages de bibliographie, de références bio-bibliographiques, de synopsis et de matériel d'illustration. La bibliographie comprend 296 titres en français, anglais et bulgare.</w:t>
      </w:r>
    </w:p>
    <w:p w:rsidR="00FC3B0F" w:rsidRPr="00FC3B0F" w:rsidRDefault="00FC3B0F" w:rsidP="00FC3B0F">
      <w:pPr>
        <w:rPr>
          <w:rFonts w:ascii="Times New Roman" w:hAnsi="Times New Roman" w:cs="Times New Roman"/>
          <w:sz w:val="32"/>
          <w:szCs w:val="32"/>
          <w:lang w:val="bg-BG"/>
        </w:rPr>
      </w:pPr>
      <w:r w:rsidRPr="00D070F7">
        <w:rPr>
          <w:rFonts w:ascii="Times New Roman" w:hAnsi="Times New Roman" w:cs="Times New Roman"/>
          <w:sz w:val="32"/>
          <w:szCs w:val="32"/>
          <w:lang w:val="fr-CH"/>
        </w:rPr>
        <w:t xml:space="preserve">La première chose que l'on peut dire à propos du texte proposé est qu'il dépasse également les exigences d'une thèse, qui est défendue comme un soi-disant "petit doctorat". En effet, tant en termes de volume que </w:t>
      </w:r>
      <w:r w:rsidRPr="00D070F7">
        <w:rPr>
          <w:rFonts w:ascii="Times New Roman" w:hAnsi="Times New Roman" w:cs="Times New Roman"/>
          <w:sz w:val="32"/>
          <w:szCs w:val="32"/>
          <w:lang w:val="fr-CH"/>
        </w:rPr>
        <w:lastRenderedPageBreak/>
        <w:t xml:space="preserve">d'objectifs et de réalisation, il dépasse ce qui est habituellement proposé comme texte à défendre pour l'obtention du grade de docteur en sciences de l'éducation. </w:t>
      </w:r>
      <w:r w:rsidRPr="006F23A0">
        <w:rPr>
          <w:rFonts w:ascii="Times New Roman" w:hAnsi="Times New Roman" w:cs="Times New Roman"/>
          <w:sz w:val="32"/>
          <w:szCs w:val="32"/>
          <w:lang w:val="fr-CH"/>
        </w:rPr>
        <w:t>On peut également dire que le travail est significatif à la fois pour les études littéraires autochtones dans la mesure où il apporte de nouvelles perspectives sur la question de l'écriture féminine et des théories de l'altérité, et parce qu'il introduit de nouveaux noms d'une littérature peu connue dans ce pays, mais il est également important dans un sens plus large dans la mesure où ce type d'étude comparative des trois femmes écrivains n'a pratiquement pas été réalisé.</w:t>
      </w:r>
      <w:r w:rsidRPr="00FC3B0F">
        <w:rPr>
          <w:rFonts w:ascii="Times New Roman" w:hAnsi="Times New Roman" w:cs="Times New Roman"/>
          <w:sz w:val="32"/>
          <w:szCs w:val="32"/>
          <w:lang w:val="bg-BG"/>
        </w:rPr>
        <w:t xml:space="preserve"> Comme le note Styliana Petkova, "l'œuvre des femmes écrivains étudiées n'a pas encore fait l'objet - séparément ou comparativement - d'une étude plus complète et plus approfondie qui tiendrait compte du poids des questions féminines dans leurs œuvres". Ce qui précède suffit à définir la thèse comme une contribution.</w:t>
      </w:r>
    </w:p>
    <w:p w:rsidR="00FC3B0F" w:rsidRPr="00FC3B0F" w:rsidRDefault="00FC3B0F" w:rsidP="00FC3B0F">
      <w:pPr>
        <w:rPr>
          <w:rFonts w:ascii="Times New Roman" w:hAnsi="Times New Roman" w:cs="Times New Roman"/>
          <w:sz w:val="32"/>
          <w:szCs w:val="32"/>
          <w:lang w:val="bg-BG"/>
        </w:rPr>
      </w:pPr>
      <w:r w:rsidRPr="00FC3B0F">
        <w:rPr>
          <w:rFonts w:ascii="Times New Roman" w:hAnsi="Times New Roman" w:cs="Times New Roman"/>
          <w:sz w:val="32"/>
          <w:szCs w:val="32"/>
          <w:lang w:val="bg-BG"/>
        </w:rPr>
        <w:t>Certaines des questions sur lesquelles le travail se concentre sont liées au débat sur l'écriture des femmes et le thème de l'altérité et toute la série de dérivations qui en découlent - la construction de l'identité et la philosophie complexe de la relation du soi à l'autre. La doctorante a une excellente connaissance des théories liées au projet de l'écriture féminine, maniant les concepts avec précision, mais essayant également de contribuer à l'idée de l'écriture féminine. Elle cherche à élargir le paradigme dans lequel elle s'inscrit, intervient légitimement dans l'attitude poststructuraliste et déconstructionniste et l'inscrit dans le champ de l'altérité. En d'autres termes, elle s'appuie sur le potentiel subversif de cette écriture et la pense dans le sens de toutes ces déconstructions qu'elle opère par rapport aux idées reçues et aux stéréotypes des relations binaires, tous ces "anges domestiques", pour citer Virginia Woolf. Ainsi, la notion fonctionne aussi parfaitement dans le sens des textes artistiques sélectionnés et analysés. Et elle n'oublie pas une chose extrêmement importante - comme toute écriture, l'écriture féminine est aussi un produit du potentiel créatif de chaque auteur individuel.</w:t>
      </w:r>
    </w:p>
    <w:p w:rsidR="00FC3B0F" w:rsidRPr="00FC3B0F" w:rsidRDefault="00FC3B0F" w:rsidP="00FC3B0F">
      <w:pPr>
        <w:rPr>
          <w:rFonts w:ascii="Times New Roman" w:hAnsi="Times New Roman" w:cs="Times New Roman"/>
          <w:sz w:val="32"/>
          <w:szCs w:val="32"/>
          <w:lang w:val="bg-BG"/>
        </w:rPr>
      </w:pPr>
      <w:r w:rsidRPr="00FC3B0F">
        <w:rPr>
          <w:rFonts w:ascii="Times New Roman" w:hAnsi="Times New Roman" w:cs="Times New Roman"/>
          <w:sz w:val="32"/>
          <w:szCs w:val="32"/>
          <w:lang w:val="bg-BG"/>
        </w:rPr>
        <w:t>En ce qui concerne l'altérité, les différents paradigmes en direction du soi et de l'autre, la reconnaissance, l'endiguement de l'altérité de l'autre, l'acceptation de l'autre "sans allergie", ces modèles d'altérité tels que rester avec les siens ou rompre radicalement avec les siens, etc, etc., sont projetés dans les écrits des auteurs étudiés et jouent un rôle important non seulement dans les analyses spécifiques, mais aussi dans les études culturelles plus générales qui traitent de sujets tels que les petites et les grandes littératures, le centre et la périphérie, le courant dominant et la marge, la langue et la littérature, et l'évolution du concept de littérature mondiale.</w:t>
      </w:r>
    </w:p>
    <w:p w:rsidR="00FC3B0F" w:rsidRPr="00FC3B0F" w:rsidRDefault="00FC3B0F" w:rsidP="00FC3B0F">
      <w:pPr>
        <w:rPr>
          <w:rFonts w:ascii="Times New Roman" w:hAnsi="Times New Roman" w:cs="Times New Roman"/>
          <w:sz w:val="32"/>
          <w:szCs w:val="32"/>
          <w:lang w:val="bg-BG"/>
        </w:rPr>
      </w:pPr>
      <w:r w:rsidRPr="00FC3B0F">
        <w:rPr>
          <w:rFonts w:ascii="Times New Roman" w:hAnsi="Times New Roman" w:cs="Times New Roman"/>
          <w:sz w:val="32"/>
          <w:szCs w:val="32"/>
          <w:lang w:val="bg-BG"/>
        </w:rPr>
        <w:t>Ce qui a été dit jusqu'à présent explique également pourquoi l'ouvrage est si interdisciplinaire. D'une part, il associe la littérature et la philosophie, la littérature et la politique, la littérature et les études culturelles ; d'autre part, il rassemble différentes approches littéraires. Au-delà de ce qui a été mentionné, il convient également de souligner le réceptif, l'intertextuel, ainsi que les liens habilement établis entre l'historicisme et le théorisme, entre la lecture rapprochée et la lecture distanciée. Enfin, il est important de souligner que Styliana Petkova analyse également des textes appartenant à des genres très différents, et qu'elle sait tout aussi bien les lire. Elle ne se limite pas à la diversité stylistique et thématique des textes qu'elle étudie, mais s'appuie également sur des exemples tirés de la prose, de la poésie et du théâtre pour étudier la relation entre la langue et le genre.</w:t>
      </w:r>
    </w:p>
    <w:p w:rsidR="00FC3B0F" w:rsidRPr="00FC3B0F" w:rsidRDefault="00FC3B0F" w:rsidP="00FC3B0F">
      <w:pPr>
        <w:rPr>
          <w:rFonts w:ascii="Times New Roman" w:hAnsi="Times New Roman" w:cs="Times New Roman"/>
          <w:sz w:val="32"/>
          <w:szCs w:val="32"/>
          <w:lang w:val="bg-BG"/>
        </w:rPr>
      </w:pPr>
      <w:r w:rsidRPr="00FC3B0F">
        <w:rPr>
          <w:rFonts w:ascii="Times New Roman" w:hAnsi="Times New Roman" w:cs="Times New Roman"/>
          <w:sz w:val="32"/>
          <w:szCs w:val="32"/>
          <w:lang w:val="bg-BG"/>
        </w:rPr>
        <w:t>À un moment donné, l'ouvrage pose la question de savoir si les questions qu'il a abordées sont dépassées. L'auteur sait en effet que de nombreux chercheurs parlent aujourd'hui de postféminisme, qu'ils considèrent comme une idéologie qui intègre, révise et dépolitise à la fois de nombreuses questions fondamentales que nous associons traditionnellement au féminisme. Et l'on affirme progressivement que le féminisme a atteint ses objectifs. La culture postféministe se concentre sur la liberté de choix dans une économie de marché et sur l'identité en tant que produit de la consommation. La consommation a commencé à être perçue comme une stratégie pour guérir d'éventuels griefs. La construction des femmes en tant que sujets et consommatrices, ou peut-être en tant que sujets uniquement dans la mesure où nous sommes capables et désireuses de consommer, est l'une des idées fondamentales qui sous-tendent la culture postféministe.</w:t>
      </w:r>
    </w:p>
    <w:p w:rsidR="00FC3B0F" w:rsidRPr="00FC3B0F" w:rsidRDefault="00FC3B0F" w:rsidP="00FC3B0F">
      <w:pPr>
        <w:rPr>
          <w:rFonts w:ascii="Times New Roman" w:hAnsi="Times New Roman" w:cs="Times New Roman"/>
          <w:sz w:val="32"/>
          <w:szCs w:val="32"/>
          <w:lang w:val="bg-BG"/>
        </w:rPr>
      </w:pPr>
      <w:r w:rsidRPr="00FC3B0F">
        <w:rPr>
          <w:rFonts w:ascii="Times New Roman" w:hAnsi="Times New Roman" w:cs="Times New Roman"/>
          <w:sz w:val="32"/>
          <w:szCs w:val="32"/>
          <w:lang w:val="bg-BG"/>
        </w:rPr>
        <w:t>Le corps, le corps féminin, reste une catégorie clé du postféminisme, mais non plus à travers les thèmes de la maternité et du langage féminin, mais le corps comme objet de la satisfaction des passions consuméristes (shopping therapy) et de la "colonisation commerciale" particulière du corps des femmes.  Mais malgré ces changements, malgré le fait que Styliana Petkova soit également consciente que les théories queer, qui remettent également en question les problématiques du féminisme traditionnel, sont désormais en vogue, elle défend son choix à la fois par les nombreux thèmes politiques auxquels le féminisme est confronté et qui ne font pas l'impasse sur la confrontation des genres, l'un d'entre eux étant celui de la violence à l'égard des femmes, et elle le défend par les écrivaines choisies elles-mêmes et par les problématiques de leurs textes. Sans oublier que les écrivaines choisies continuent également d'être marginalisées, non seulement par rapport à la littérature mondiale, mais aussi par rapport à la littérature francophone. Comme le dit Styliana Petkova, "souvent sous-estimés par les critiques littéraires locaux, les écrivains francophones sont encore moins reconnus sur la scène littéraire internationale pour la qualité de leurs fictions. C'est le cas de Monique Lederac et Anne-Lise Grobetti, ou de la reconnaissance trop tardive de Corina Bee". En ce sens, malgré les doutes, l'étude affirme sa pertinence.</w:t>
      </w:r>
    </w:p>
    <w:p w:rsidR="00FC3B0F" w:rsidRPr="00FC3B0F" w:rsidRDefault="00FC3B0F" w:rsidP="00FC3B0F">
      <w:pPr>
        <w:rPr>
          <w:rFonts w:ascii="Times New Roman" w:hAnsi="Times New Roman" w:cs="Times New Roman"/>
          <w:sz w:val="32"/>
          <w:szCs w:val="32"/>
          <w:lang w:val="bg-BG"/>
        </w:rPr>
      </w:pPr>
      <w:r w:rsidRPr="00FC3B0F">
        <w:rPr>
          <w:rFonts w:ascii="Times New Roman" w:hAnsi="Times New Roman" w:cs="Times New Roman"/>
          <w:sz w:val="32"/>
          <w:szCs w:val="32"/>
          <w:lang w:val="bg-BG"/>
        </w:rPr>
        <w:t>Compte tenu de l'importance des idées exposées dans la thèse, du sérieux et de la rigueur avec lesquels elles sont motivées, ainsi que de l'érudition enviable, de l'esprit d'analyse et de la capacité à manifester sa propre opinion dont elle fait preuve, je vote avec conviction pour que Styliana Petkova reçoive le grade de docteur en sciences de l'éducation et en sciences dans le domaine de l'enseignement supérieur 2. Sciences humaines</w:t>
      </w:r>
    </w:p>
    <w:p w:rsidR="00FC3B0F" w:rsidRPr="00FC3B0F" w:rsidRDefault="00FC3B0F" w:rsidP="00FC3B0F">
      <w:pPr>
        <w:rPr>
          <w:rFonts w:ascii="Times New Roman" w:hAnsi="Times New Roman" w:cs="Times New Roman"/>
          <w:sz w:val="32"/>
          <w:szCs w:val="32"/>
          <w:lang w:val="bg-BG"/>
        </w:rPr>
      </w:pPr>
      <w:r w:rsidRPr="00FC3B0F">
        <w:rPr>
          <w:rFonts w:ascii="Times New Roman" w:hAnsi="Times New Roman" w:cs="Times New Roman"/>
          <w:sz w:val="32"/>
          <w:szCs w:val="32"/>
          <w:lang w:val="bg-BG"/>
        </w:rPr>
        <w:t>Domaine professionnel 2.1. Littérature des peuples d'Europe, d'Afrique, d'Amérique, d'Asie et d'Australie (littérature suisse de langue française)</w:t>
      </w:r>
    </w:p>
    <w:p w:rsidR="00FC3B0F" w:rsidRPr="00FC3B0F" w:rsidRDefault="00FC3B0F" w:rsidP="00FC3B0F">
      <w:pPr>
        <w:rPr>
          <w:rFonts w:ascii="Times New Roman" w:hAnsi="Times New Roman" w:cs="Times New Roman"/>
          <w:sz w:val="32"/>
          <w:szCs w:val="32"/>
          <w:lang w:val="bg-BG"/>
        </w:rPr>
      </w:pPr>
      <w:r w:rsidRPr="00FC3B0F">
        <w:rPr>
          <w:rFonts w:ascii="Times New Roman" w:hAnsi="Times New Roman" w:cs="Times New Roman"/>
          <w:sz w:val="32"/>
          <w:szCs w:val="32"/>
        </w:rPr>
        <w:t xml:space="preserve">Prof. </w:t>
      </w:r>
      <w:r w:rsidRPr="00FC3B0F">
        <w:rPr>
          <w:rFonts w:ascii="Times New Roman" w:hAnsi="Times New Roman" w:cs="Times New Roman"/>
          <w:sz w:val="32"/>
          <w:szCs w:val="32"/>
          <w:lang w:val="bg-BG"/>
        </w:rPr>
        <w:t>Dr Amelia Liceva</w:t>
      </w:r>
    </w:p>
    <w:sectPr w:rsidR="00FC3B0F" w:rsidRPr="00FC3B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13A"/>
    <w:rsid w:val="00027C6A"/>
    <w:rsid w:val="006F23A0"/>
    <w:rsid w:val="00D070F7"/>
    <w:rsid w:val="00FA713A"/>
    <w:rsid w:val="00FC3B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BA190"/>
  <w15:chartTrackingRefBased/>
  <w15:docId w15:val="{7500EBD7-9F73-4BE3-8975-6887E4E44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1246</Words>
  <Characters>7103</Characters>
  <Application>Microsoft Office Word</Application>
  <DocSecurity>0</DocSecurity>
  <Lines>59</Lines>
  <Paragraphs>16</Paragraphs>
  <ScaleCrop>false</ScaleCrop>
  <Company/>
  <LinksUpToDate>false</LinksUpToDate>
  <CharactersWithSpaces>8333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Vice-deans</dc:creator>
  <cp:keywords/>
  <dc:description/>
  <cp:lastModifiedBy>Стилияна Милкова Петкова</cp:lastModifiedBy>
  <cp:revision>3</cp:revision>
  <dcterms:created xsi:type="dcterms:W3CDTF">2024-06-21T15:37:00Z</dcterms:created>
  <dcterms:modified xsi:type="dcterms:W3CDTF">2024-06-21T15:41:00Z</dcterms:modified>
</cp:coreProperties>
</file>