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027" w:rsidRPr="00CB3027" w:rsidRDefault="00CB3027" w:rsidP="00CB30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bookmarkStart w:id="0" w:name="_GoBack"/>
      <w:bookmarkEnd w:id="0"/>
      <w:r w:rsidRPr="00CB30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СТАНОВИЩЕ</w:t>
      </w:r>
    </w:p>
    <w:p w:rsidR="00CB3027" w:rsidRPr="00CB3027" w:rsidRDefault="00CB3027" w:rsidP="00CB30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3027" w:rsidRPr="00CB3027" w:rsidRDefault="00CB3027" w:rsidP="00CB30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</w:pPr>
      <w:r w:rsidRPr="00CB3027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от проф. д-р Йовка Тишева</w:t>
      </w:r>
    </w:p>
    <w:p w:rsidR="00CB3027" w:rsidRPr="00CB3027" w:rsidRDefault="00CB3027" w:rsidP="00CB30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</w:pPr>
      <w:r w:rsidRPr="00CB3027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Катедра по български език, Факултет по славянски филологии</w:t>
      </w:r>
    </w:p>
    <w:p w:rsidR="00CB3027" w:rsidRPr="00CB3027" w:rsidRDefault="00CB3027" w:rsidP="00CB3027">
      <w:pPr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CB3027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СУ „Св. Климент Охридски“</w:t>
      </w:r>
    </w:p>
    <w:p w:rsidR="00CB3027" w:rsidRPr="00CB3027" w:rsidRDefault="00CB3027" w:rsidP="00CB3027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B3027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за дисертационен труд за придобиване на образователната и научна степен “</w:t>
      </w:r>
      <w:r w:rsidRPr="00CB30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  <w:t>доктор</w:t>
      </w:r>
      <w:r w:rsidRPr="00CB3027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 xml:space="preserve">“ по </w:t>
      </w:r>
      <w:r w:rsidRPr="00CB3027">
        <w:rPr>
          <w:rFonts w:ascii="Times New Roman" w:eastAsia="Calibri" w:hAnsi="Times New Roman" w:cs="Times New Roman"/>
          <w:sz w:val="24"/>
          <w:szCs w:val="24"/>
          <w:lang w:val="bg-BG"/>
        </w:rPr>
        <w:t>професионално направление 2.1. Филология</w:t>
      </w:r>
      <w:r w:rsidR="004548B2">
        <w:rPr>
          <w:rFonts w:ascii="Times New Roman" w:eastAsia="Calibri" w:hAnsi="Times New Roman" w:cs="Times New Roman"/>
          <w:sz w:val="24"/>
          <w:szCs w:val="24"/>
          <w:lang w:val="bg-BG"/>
        </w:rPr>
        <w:t>, Общо и сравнително езикознание (Прагматика на текста</w:t>
      </w:r>
      <w:r w:rsidRPr="00CB30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</w:p>
    <w:p w:rsidR="00CB3027" w:rsidRPr="00CB3027" w:rsidRDefault="00CB3027" w:rsidP="00CB3027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CB30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  <w:t>Автор на дисертационния труд:</w:t>
      </w:r>
      <w:r w:rsidR="004548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4548B2">
        <w:rPr>
          <w:rFonts w:ascii="Times New Roman" w:eastAsia="Calibri" w:hAnsi="Times New Roman" w:cs="Times New Roman"/>
          <w:sz w:val="24"/>
          <w:szCs w:val="24"/>
          <w:lang w:val="bg-BG"/>
        </w:rPr>
        <w:t>Енрике Карлош Дореш</w:t>
      </w:r>
      <w:r w:rsidRPr="00CB3027">
        <w:rPr>
          <w:rFonts w:ascii="Times New Roman" w:eastAsia="Calibri" w:hAnsi="Times New Roman" w:cs="Times New Roman"/>
          <w:sz w:val="24"/>
          <w:szCs w:val="24"/>
          <w:lang w:val="bg-BG"/>
        </w:rPr>
        <w:t>, доктора</w:t>
      </w:r>
      <w:r w:rsidR="007A68E3">
        <w:rPr>
          <w:rFonts w:ascii="Times New Roman" w:eastAsia="Calibri" w:hAnsi="Times New Roman" w:cs="Times New Roman"/>
          <w:sz w:val="24"/>
          <w:szCs w:val="24"/>
          <w:lang w:val="bg-BG"/>
        </w:rPr>
        <w:t>нт в Катедра „Испанистика“</w:t>
      </w:r>
      <w:r w:rsidRPr="00CB3027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7A68E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Факултет по класически и нови филологии</w:t>
      </w:r>
      <w:r w:rsidRPr="00CB3027">
        <w:rPr>
          <w:rFonts w:ascii="Times New Roman" w:eastAsia="Calibri" w:hAnsi="Times New Roman" w:cs="Times New Roman"/>
          <w:sz w:val="24"/>
          <w:szCs w:val="24"/>
          <w:lang w:val="bg-BG"/>
        </w:rPr>
        <w:t>, СУ „Св. Климент Охридски“</w:t>
      </w:r>
    </w:p>
    <w:p w:rsidR="007A68E3" w:rsidRPr="007A68E3" w:rsidRDefault="00CB3027" w:rsidP="007A68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B302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Тема на дисертационния труд:</w:t>
      </w:r>
      <w:r w:rsidR="007A68E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A68E3" w:rsidRPr="007A68E3">
        <w:rPr>
          <w:rFonts w:ascii="Times New Roman" w:eastAsia="Calibri" w:hAnsi="Times New Roman" w:cs="Times New Roman"/>
          <w:sz w:val="24"/>
          <w:szCs w:val="24"/>
          <w:lang w:val="bg-BG"/>
        </w:rPr>
        <w:t>„Концептуалните метафори и прагматичният контекст</w:t>
      </w:r>
    </w:p>
    <w:p w:rsidR="00CB3027" w:rsidRDefault="007A68E3" w:rsidP="007A68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A68E3">
        <w:rPr>
          <w:rFonts w:ascii="Times New Roman" w:eastAsia="Calibri" w:hAnsi="Times New Roman" w:cs="Times New Roman"/>
          <w:sz w:val="24"/>
          <w:szCs w:val="24"/>
          <w:lang w:val="bg-BG"/>
        </w:rPr>
        <w:t>в политическите речи (на испански и португалски)“</w:t>
      </w:r>
    </w:p>
    <w:p w:rsidR="007A68E3" w:rsidRPr="00CB3027" w:rsidRDefault="007A68E3" w:rsidP="007A68E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CB3027" w:rsidRPr="00CB3027" w:rsidRDefault="00CB3027" w:rsidP="00CB302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</w:pPr>
      <w:r w:rsidRPr="00CB3027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>Данни за автора на дисертационния труд и за докторантурата</w:t>
      </w:r>
    </w:p>
    <w:p w:rsidR="007A68E3" w:rsidRDefault="007A68E3" w:rsidP="00F1187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eastAsia="Calibri" w:hAnsi="TimesNewRomanPSMT" w:cs="TimesNewRomanPSMT"/>
          <w:sz w:val="24"/>
          <w:szCs w:val="24"/>
          <w:lang w:val="bg-BG"/>
        </w:rPr>
      </w:pPr>
      <w:r>
        <w:rPr>
          <w:rFonts w:ascii="TimesNewRomanPSMT" w:eastAsia="Calibri" w:hAnsi="TimesNewRomanPSMT" w:cs="TimesNewRomanPSMT"/>
          <w:sz w:val="24"/>
          <w:szCs w:val="24"/>
          <w:lang w:val="bg-BG"/>
        </w:rPr>
        <w:t>Енрике Дореш</w:t>
      </w:r>
      <w:r w:rsidR="00CB3027"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val="bg-BG"/>
        </w:rPr>
        <w:t>завършва</w:t>
      </w:r>
      <w:r w:rsidR="00CB3027"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специално</w:t>
      </w:r>
      <w:r>
        <w:rPr>
          <w:rFonts w:ascii="TimesNewRomanPSMT" w:eastAsia="Calibri" w:hAnsi="TimesNewRomanPSMT" w:cs="TimesNewRomanPSMT"/>
          <w:sz w:val="24"/>
          <w:szCs w:val="24"/>
          <w:lang w:val="bg-BG"/>
        </w:rPr>
        <w:t>стта „Европеистика</w:t>
      </w:r>
      <w:r w:rsidR="00CB3027"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“ </w:t>
      </w:r>
      <w:r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(Политически науки и международни отношения) в </w:t>
      </w:r>
      <w:r w:rsidRPr="007A68E3">
        <w:rPr>
          <w:rFonts w:ascii="TimesNewRomanPSMT" w:eastAsia="Calibri" w:hAnsi="TimesNewRomanPSMT" w:cs="TimesNewRomanPSMT"/>
          <w:sz w:val="24"/>
          <w:szCs w:val="24"/>
          <w:lang w:val="bg-BG"/>
        </w:rPr>
        <w:t>Univ</w:t>
      </w:r>
      <w:r>
        <w:rPr>
          <w:rFonts w:ascii="TimesNewRomanPSMT" w:eastAsia="Calibri" w:hAnsi="TimesNewRomanPSMT" w:cs="TimesNewRomanPSMT"/>
          <w:sz w:val="24"/>
          <w:szCs w:val="24"/>
          <w:lang w:val="bg-BG"/>
        </w:rPr>
        <w:t>ersidade Lusófona do Porto</w:t>
      </w:r>
      <w:r w:rsidRPr="007A68E3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, Португалия </w:t>
      </w:r>
      <w:r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през 2006 г. </w:t>
      </w:r>
      <w:r w:rsidRPr="007A68E3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В периода </w:t>
      </w:r>
      <w:r w:rsidR="00DC5A03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от </w:t>
      </w:r>
      <w:r w:rsidRPr="007A68E3">
        <w:rPr>
          <w:rFonts w:ascii="TimesNewRomanPSMT" w:eastAsia="Calibri" w:hAnsi="TimesNewRomanPSMT" w:cs="TimesNewRomanPSMT"/>
          <w:sz w:val="24"/>
          <w:szCs w:val="24"/>
          <w:lang w:val="bg-BG"/>
        </w:rPr>
        <w:t>2011</w:t>
      </w:r>
      <w:r w:rsidR="00DC5A03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г. до</w:t>
      </w:r>
      <w:r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</w:t>
      </w:r>
      <w:r w:rsidRPr="007A68E3">
        <w:rPr>
          <w:rFonts w:ascii="TimesNewRomanPSMT" w:eastAsia="Calibri" w:hAnsi="TimesNewRomanPSMT" w:cs="TimesNewRomanPSMT"/>
          <w:sz w:val="24"/>
          <w:szCs w:val="24"/>
          <w:lang w:val="bg-BG"/>
        </w:rPr>
        <w:t>2013</w:t>
      </w:r>
      <w:r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г. той се обучава в следдипломна програма по социални и политически науки в </w:t>
      </w:r>
      <w:r w:rsidRPr="007A68E3">
        <w:rPr>
          <w:rFonts w:ascii="TimesNewRomanPSMT" w:eastAsia="Calibri" w:hAnsi="TimesNewRomanPSMT" w:cs="TimesNewRomanPSMT"/>
          <w:sz w:val="24"/>
          <w:szCs w:val="24"/>
          <w:lang w:val="bg-BG"/>
        </w:rPr>
        <w:t>Vytautos Magnus University</w:t>
      </w:r>
      <w:r>
        <w:rPr>
          <w:rFonts w:ascii="TimesNewRomanPSMT" w:eastAsia="Calibri" w:hAnsi="TimesNewRomanPSMT" w:cs="TimesNewRomanPSMT"/>
          <w:sz w:val="24"/>
          <w:szCs w:val="24"/>
          <w:lang w:val="bg-BG"/>
        </w:rPr>
        <w:t>, Каунас, Литва</w:t>
      </w:r>
      <w:r w:rsidR="00DC5A03">
        <w:rPr>
          <w:rFonts w:ascii="TimesNewRomanPSMT" w:eastAsia="Calibri" w:hAnsi="TimesNewRomanPSMT" w:cs="TimesNewRomanPSMT"/>
          <w:sz w:val="24"/>
          <w:szCs w:val="24"/>
          <w:lang w:val="bg-BG"/>
        </w:rPr>
        <w:t>, чрез което разширява своите</w:t>
      </w:r>
      <w:r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познания в областта на медийната комуникация</w:t>
      </w:r>
      <w:r w:rsidRPr="007A68E3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, </w:t>
      </w:r>
      <w:r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философските и </w:t>
      </w:r>
      <w:r w:rsidRPr="007A68E3">
        <w:rPr>
          <w:rFonts w:ascii="TimesNewRomanPSMT" w:eastAsia="Calibri" w:hAnsi="TimesNewRomanPSMT" w:cs="TimesNewRomanPSMT"/>
          <w:sz w:val="24"/>
          <w:szCs w:val="24"/>
          <w:lang w:val="bg-BG"/>
        </w:rPr>
        <w:t>политически</w:t>
      </w:r>
      <w:r>
        <w:rPr>
          <w:rFonts w:ascii="TimesNewRomanPSMT" w:eastAsia="Calibri" w:hAnsi="TimesNewRomanPSMT" w:cs="TimesNewRomanPSMT"/>
          <w:sz w:val="24"/>
          <w:szCs w:val="24"/>
          <w:lang w:val="bg-BG"/>
        </w:rPr>
        <w:t>те</w:t>
      </w:r>
      <w:r w:rsidRPr="007A68E3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теории и методологии,</w:t>
      </w:r>
      <w:r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</w:t>
      </w:r>
      <w:r w:rsidRPr="007A68E3">
        <w:rPr>
          <w:rFonts w:ascii="TimesNewRomanPSMT" w:eastAsia="Calibri" w:hAnsi="TimesNewRomanPSMT" w:cs="TimesNewRomanPSMT"/>
          <w:sz w:val="24"/>
          <w:szCs w:val="24"/>
          <w:lang w:val="bg-BG"/>
        </w:rPr>
        <w:t>анализ</w:t>
      </w:r>
      <w:r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а на дискурса и др. </w:t>
      </w:r>
      <w:r w:rsidR="00DC5A03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От 2017 до 2018 г. Енрике Дореш е студент в магистърската програма „Семиотика, език, реклама“ във Факултета по класически и нови филологии на СУ „Св. Климент Охридски“ и така обогатява своята теоретична подготовка освен в класически области на хуманитаристиката като семиотика, лингвистика, теория на комуникацията, така и в актуални практикоприложни аспекти, свързани с психологията на виртуалния свят и социалните медии, визуалната аргументация, </w:t>
      </w:r>
      <w:r w:rsidR="00E43186">
        <w:rPr>
          <w:rFonts w:ascii="TimesNewRomanPSMT" w:eastAsia="Calibri" w:hAnsi="TimesNewRomanPSMT" w:cs="TimesNewRomanPSMT"/>
          <w:sz w:val="24"/>
          <w:szCs w:val="24"/>
          <w:lang w:val="bg-BG"/>
        </w:rPr>
        <w:t>изграждането на рекламни и други кампании и др. Във връзка с настоящата процедура ще отбележа и някои данни за професионалн</w:t>
      </w:r>
      <w:r w:rsidR="000567B4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ия опит на Енрике </w:t>
      </w:r>
      <w:proofErr w:type="spellStart"/>
      <w:r w:rsidR="000567B4">
        <w:rPr>
          <w:rFonts w:ascii="TimesNewRomanPSMT" w:eastAsia="Calibri" w:hAnsi="TimesNewRomanPSMT" w:cs="TimesNewRomanPSMT"/>
          <w:sz w:val="24"/>
          <w:szCs w:val="24"/>
          <w:lang w:val="bg-BG"/>
        </w:rPr>
        <w:t>Дореш</w:t>
      </w:r>
      <w:proofErr w:type="spellEnd"/>
      <w:r w:rsidR="000567B4">
        <w:rPr>
          <w:rFonts w:ascii="TimesNewRomanPSMT" w:eastAsia="Calibri" w:hAnsi="TimesNewRomanPSMT" w:cs="TimesNewRomanPSMT"/>
          <w:sz w:val="24"/>
          <w:szCs w:val="24"/>
          <w:lang w:val="bg-BG"/>
        </w:rPr>
        <w:t>: стаж</w:t>
      </w:r>
      <w:r w:rsidR="00E43186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в отдела по </w:t>
      </w:r>
      <w:r w:rsidR="00F666AC">
        <w:rPr>
          <w:rFonts w:ascii="TimesNewRomanPSMT" w:eastAsia="Calibri" w:hAnsi="TimesNewRomanPSMT" w:cs="TimesNewRomanPSMT"/>
          <w:sz w:val="24"/>
          <w:szCs w:val="24"/>
          <w:lang w:val="bg-BG"/>
        </w:rPr>
        <w:t>международно</w:t>
      </w:r>
      <w:r w:rsidR="00E43186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право на </w:t>
      </w:r>
      <w:r w:rsidR="00F666AC">
        <w:rPr>
          <w:rFonts w:ascii="TimesNewRomanPSMT" w:eastAsia="Calibri" w:hAnsi="TimesNewRomanPSMT" w:cs="TimesNewRomanPSMT"/>
          <w:sz w:val="24"/>
          <w:szCs w:val="24"/>
        </w:rPr>
        <w:t>A</w:t>
      </w:r>
      <w:proofErr w:type="spellStart"/>
      <w:r w:rsidR="00F666AC">
        <w:rPr>
          <w:rFonts w:ascii="TimesNewRomanPSMT" w:eastAsia="Calibri" w:hAnsi="TimesNewRomanPSMT" w:cs="TimesNewRomanPSMT"/>
          <w:sz w:val="24"/>
          <w:szCs w:val="24"/>
          <w:lang w:val="bg-BG"/>
        </w:rPr>
        <w:t>mnesty</w:t>
      </w:r>
      <w:proofErr w:type="spellEnd"/>
      <w:r w:rsidR="00F666AC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</w:t>
      </w:r>
      <w:r w:rsidR="00F666AC">
        <w:rPr>
          <w:rFonts w:ascii="TimesNewRomanPSMT" w:eastAsia="Calibri" w:hAnsi="TimesNewRomanPSMT" w:cs="TimesNewRomanPSMT"/>
          <w:sz w:val="24"/>
          <w:szCs w:val="24"/>
        </w:rPr>
        <w:t>I</w:t>
      </w:r>
      <w:proofErr w:type="spellStart"/>
      <w:r w:rsidR="00F666AC" w:rsidRPr="00E43186">
        <w:rPr>
          <w:rFonts w:ascii="TimesNewRomanPSMT" w:eastAsia="Calibri" w:hAnsi="TimesNewRomanPSMT" w:cs="TimesNewRomanPSMT"/>
          <w:sz w:val="24"/>
          <w:szCs w:val="24"/>
          <w:lang w:val="bg-BG"/>
        </w:rPr>
        <w:t>nternational</w:t>
      </w:r>
      <w:proofErr w:type="spellEnd"/>
      <w:r w:rsidR="00E43186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в Лисабон през 2008 г.; </w:t>
      </w:r>
      <w:r w:rsidR="000567B4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опит като </w:t>
      </w:r>
      <w:r w:rsidR="00E43186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журналист в </w:t>
      </w:r>
      <w:proofErr w:type="spellStart"/>
      <w:r w:rsidR="00E43186">
        <w:rPr>
          <w:rFonts w:ascii="TimesNewRomanPSMT" w:eastAsia="Calibri" w:hAnsi="TimesNewRomanPSMT" w:cs="TimesNewRomanPSMT"/>
          <w:sz w:val="24"/>
          <w:szCs w:val="24"/>
          <w:lang w:val="bg-BG"/>
        </w:rPr>
        <w:t>Рамала</w:t>
      </w:r>
      <w:proofErr w:type="spellEnd"/>
      <w:r w:rsidR="00E43186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за </w:t>
      </w:r>
      <w:r w:rsidR="00F666AC">
        <w:rPr>
          <w:rFonts w:ascii="TimesNewRomanPSMT" w:eastAsia="Calibri" w:hAnsi="TimesNewRomanPSMT" w:cs="TimesNewRomanPSMT"/>
          <w:sz w:val="24"/>
          <w:szCs w:val="24"/>
        </w:rPr>
        <w:t>P</w:t>
      </w:r>
      <w:proofErr w:type="spellStart"/>
      <w:r w:rsidR="00F666AC">
        <w:rPr>
          <w:rFonts w:ascii="TimesNewRomanPSMT" w:eastAsia="Calibri" w:hAnsi="TimesNewRomanPSMT" w:cs="TimesNewRomanPSMT"/>
          <w:sz w:val="24"/>
          <w:szCs w:val="24"/>
          <w:lang w:val="bg-BG"/>
        </w:rPr>
        <w:t>alestine</w:t>
      </w:r>
      <w:proofErr w:type="spellEnd"/>
      <w:r w:rsidR="00F666AC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</w:t>
      </w:r>
      <w:r w:rsidR="00F666AC">
        <w:rPr>
          <w:rFonts w:ascii="TimesNewRomanPSMT" w:eastAsia="Calibri" w:hAnsi="TimesNewRomanPSMT" w:cs="TimesNewRomanPSMT"/>
          <w:sz w:val="24"/>
          <w:szCs w:val="24"/>
        </w:rPr>
        <w:t>M</w:t>
      </w:r>
      <w:proofErr w:type="spellStart"/>
      <w:r w:rsidR="00F666AC" w:rsidRPr="00E43186">
        <w:rPr>
          <w:rFonts w:ascii="TimesNewRomanPSMT" w:eastAsia="Calibri" w:hAnsi="TimesNewRomanPSMT" w:cs="TimesNewRomanPSMT"/>
          <w:sz w:val="24"/>
          <w:szCs w:val="24"/>
          <w:lang w:val="bg-BG"/>
        </w:rPr>
        <w:t>onitor</w:t>
      </w:r>
      <w:proofErr w:type="spellEnd"/>
      <w:r w:rsidR="00F666AC" w:rsidRPr="00E43186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</w:t>
      </w:r>
      <w:r w:rsidR="00E43186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през 2013 г.; медиен </w:t>
      </w:r>
      <w:r w:rsidR="00856BE6">
        <w:rPr>
          <w:rFonts w:ascii="TimesNewRomanPSMT" w:eastAsia="Calibri" w:hAnsi="TimesNewRomanPSMT" w:cs="TimesNewRomanPSMT"/>
          <w:sz w:val="24"/>
          <w:szCs w:val="24"/>
          <w:lang w:val="bg-BG"/>
        </w:rPr>
        <w:t>автор и анализатор</w:t>
      </w:r>
      <w:r w:rsidR="00856BE6">
        <w:rPr>
          <w:rFonts w:ascii="TimesNewRomanPSMT" w:eastAsia="Calibri" w:hAnsi="TimesNewRomanPSMT" w:cs="TimesNewRomanPSMT"/>
          <w:sz w:val="24"/>
          <w:szCs w:val="24"/>
        </w:rPr>
        <w:t xml:space="preserve"> </w:t>
      </w:r>
      <w:r w:rsidR="00856BE6">
        <w:rPr>
          <w:rFonts w:ascii="TimesNewRomanPSMT" w:eastAsia="Calibri" w:hAnsi="TimesNewRomanPSMT" w:cs="TimesNewRomanPSMT"/>
          <w:sz w:val="24"/>
          <w:szCs w:val="24"/>
          <w:lang w:val="bg-BG"/>
        </w:rPr>
        <w:t>в периода</w:t>
      </w:r>
      <w:r w:rsidR="0062583B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2018 – 2019 г.</w:t>
      </w:r>
    </w:p>
    <w:p w:rsidR="004548B2" w:rsidRDefault="00856BE6" w:rsidP="00447BB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eastAsia="Calibri" w:hAnsi="TimesNewRomanPSMT" w:cs="TimesNewRomanPSMT"/>
          <w:sz w:val="24"/>
          <w:szCs w:val="24"/>
          <w:lang w:val="bg-BG"/>
        </w:rPr>
      </w:pPr>
      <w:r>
        <w:rPr>
          <w:rFonts w:ascii="TimesNewRomanPSMT" w:eastAsia="Calibri" w:hAnsi="TimesNewRomanPSMT" w:cs="TimesNewRomanPSMT"/>
          <w:sz w:val="24"/>
          <w:szCs w:val="24"/>
          <w:lang w:val="bg-BG"/>
        </w:rPr>
        <w:t>О</w:t>
      </w:r>
      <w:r w:rsidR="00CB3027"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>т</w:t>
      </w:r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февруари 2020 г. до януари 2024 г. Енрике </w:t>
      </w:r>
      <w:proofErr w:type="spellStart"/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>Дореш</w:t>
      </w:r>
      <w:proofErr w:type="spellEnd"/>
      <w:r w:rsidR="00CB3027"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е редовен доктора</w:t>
      </w:r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>нт в катедра</w:t>
      </w:r>
      <w:r w:rsidR="00CB3027"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</w:t>
      </w:r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>„</w:t>
      </w:r>
      <w:proofErr w:type="spellStart"/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>Испанистика</w:t>
      </w:r>
      <w:proofErr w:type="spellEnd"/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“ </w:t>
      </w:r>
      <w:r w:rsidR="00CB3027"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във </w:t>
      </w:r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>Факултета по класически и нови филологии</w:t>
      </w:r>
      <w:r w:rsidR="00CB3027"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на СУ</w:t>
      </w:r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</w:t>
      </w:r>
      <w:r w:rsidR="00D76655" w:rsidRPr="00D76655">
        <w:rPr>
          <w:rFonts w:ascii="TimesNewRomanPSMT" w:eastAsia="Calibri" w:hAnsi="TimesNewRomanPSMT" w:cs="TimesNewRomanPSMT"/>
          <w:sz w:val="24"/>
          <w:szCs w:val="24"/>
          <w:lang w:val="bg-BG"/>
        </w:rPr>
        <w:t>с научен ръководител проф. д-р Милена Попова</w:t>
      </w:r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. Обучението </w:t>
      </w:r>
      <w:r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му </w:t>
      </w:r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е в рамките на </w:t>
      </w:r>
      <w:r w:rsidR="00D76655" w:rsidRPr="00D76655">
        <w:rPr>
          <w:rFonts w:ascii="TimesNewRomanPSMT" w:eastAsia="Calibri" w:hAnsi="TimesNewRomanPSMT" w:cs="TimesNewRomanPSMT"/>
          <w:sz w:val="24"/>
          <w:szCs w:val="24"/>
          <w:lang w:val="bg-BG"/>
        </w:rPr>
        <w:t>докторска</w:t>
      </w:r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>та</w:t>
      </w:r>
      <w:r w:rsidR="00D76655" w:rsidRPr="00D76655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програма </w:t>
      </w:r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2.1. </w:t>
      </w:r>
      <w:r w:rsidR="00D76655" w:rsidRPr="00D76655">
        <w:rPr>
          <w:rFonts w:ascii="TimesNewRomanPSMT" w:eastAsia="Calibri" w:hAnsi="TimesNewRomanPSMT" w:cs="TimesNewRomanPSMT"/>
          <w:sz w:val="24"/>
          <w:szCs w:val="24"/>
          <w:lang w:val="bg-BG"/>
        </w:rPr>
        <w:t>Филология, Общо и сравнително езикознание (Прагматика на текста)</w:t>
      </w:r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с фокус върху прагматичните анализи на политическия дискурс.</w:t>
      </w:r>
      <w:r w:rsidR="00F11870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Енрике </w:t>
      </w:r>
      <w:proofErr w:type="spellStart"/>
      <w:r w:rsidR="00F11870">
        <w:rPr>
          <w:rFonts w:ascii="TimesNewRomanPSMT" w:eastAsia="Calibri" w:hAnsi="TimesNewRomanPSMT" w:cs="TimesNewRomanPSMT"/>
          <w:sz w:val="24"/>
          <w:szCs w:val="24"/>
          <w:lang w:val="bg-BG"/>
        </w:rPr>
        <w:t>Дореш</w:t>
      </w:r>
      <w:proofErr w:type="spellEnd"/>
      <w:r w:rsidR="00CB3027"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повишава научната и професионалната си подготовка чрез участие в курсовете в Докторантското училище на</w:t>
      </w:r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ФКНФ</w:t>
      </w:r>
      <w:r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. Той е представял </w:t>
      </w:r>
      <w:r w:rsidR="00CB3027"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>рез</w:t>
      </w:r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>ултати от свои проучвания на ед</w:t>
      </w:r>
      <w:r>
        <w:rPr>
          <w:rFonts w:ascii="TimesNewRomanPSMT" w:eastAsia="Calibri" w:hAnsi="TimesNewRomanPSMT" w:cs="TimesNewRomanPSMT"/>
          <w:sz w:val="24"/>
          <w:szCs w:val="24"/>
          <w:lang w:val="bg-BG"/>
        </w:rPr>
        <w:t>на международна и две национални</w:t>
      </w:r>
      <w:r w:rsidR="00CB3027"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научни конференции: </w:t>
      </w:r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>М</w:t>
      </w:r>
      <w:r w:rsidR="00CB3027"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>еждународна</w:t>
      </w:r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научна конференция “Езици, култури, комуникации</w:t>
      </w:r>
      <w:r w:rsidR="00CB3027"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”, </w:t>
      </w:r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>орган</w:t>
      </w:r>
      <w:r w:rsidR="00C94472">
        <w:rPr>
          <w:rFonts w:ascii="TimesNewRomanPSMT" w:eastAsia="Calibri" w:hAnsi="TimesNewRomanPSMT" w:cs="TimesNewRomanPSMT"/>
          <w:sz w:val="24"/>
          <w:szCs w:val="24"/>
          <w:lang w:val="bg-BG"/>
        </w:rPr>
        <w:t>изирана от Филологическия факултет на Великотърновския университет</w:t>
      </w:r>
      <w:r w:rsidR="00F11870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; </w:t>
      </w:r>
      <w:r w:rsidR="00D76655" w:rsidRPr="00D76655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XVIII </w:t>
      </w:r>
      <w:r w:rsidR="00447BB2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и </w:t>
      </w:r>
      <w:r w:rsidR="00D76655">
        <w:rPr>
          <w:rFonts w:ascii="TimesNewRomanPSMT" w:eastAsia="Calibri" w:hAnsi="TimesNewRomanPSMT" w:cs="TimesNewRomanPSMT"/>
          <w:sz w:val="24"/>
          <w:szCs w:val="24"/>
        </w:rPr>
        <w:t xml:space="preserve">XIX </w:t>
      </w:r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научна конференция на </w:t>
      </w:r>
      <w:r w:rsidR="00D76655">
        <w:rPr>
          <w:rFonts w:ascii="TimesNewRomanPSMT" w:eastAsia="Calibri" w:hAnsi="TimesNewRomanPSMT" w:cs="TimesNewRomanPSMT"/>
          <w:sz w:val="24"/>
          <w:szCs w:val="24"/>
          <w:lang w:val="bg-BG"/>
        </w:rPr>
        <w:lastRenderedPageBreak/>
        <w:t>нехабилитираните препо</w:t>
      </w:r>
      <w:r w:rsidR="00C94472">
        <w:rPr>
          <w:rFonts w:ascii="TimesNewRomanPSMT" w:eastAsia="Calibri" w:hAnsi="TimesNewRomanPSMT" w:cs="TimesNewRomanPSMT"/>
          <w:sz w:val="24"/>
          <w:szCs w:val="24"/>
          <w:lang w:val="bg-BG"/>
        </w:rPr>
        <w:t>даватели и докторанти във Факултета по класически и нови филологии</w:t>
      </w:r>
      <w:r w:rsidR="00447BB2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на СУ. </w:t>
      </w:r>
    </w:p>
    <w:p w:rsidR="00CB3027" w:rsidRDefault="00CB3027" w:rsidP="00CB302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eastAsia="Calibri" w:hAnsi="TimesNewRomanPSMT" w:cs="TimesNewRomanPSMT"/>
          <w:sz w:val="24"/>
          <w:szCs w:val="24"/>
          <w:lang w:val="bg-BG"/>
        </w:rPr>
      </w:pPr>
      <w:r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>Данните за периода на обучението показват добрата научна подготовка на докторанта и изградените му умения за изследователс</w:t>
      </w:r>
      <w:r w:rsidR="00856BE6">
        <w:rPr>
          <w:rFonts w:ascii="TimesNewRomanPSMT" w:eastAsia="Calibri" w:hAnsi="TimesNewRomanPSMT" w:cs="TimesNewRomanPSMT"/>
          <w:sz w:val="24"/>
          <w:szCs w:val="24"/>
          <w:lang w:val="bg-BG"/>
        </w:rPr>
        <w:t>ка и приложна дейност. П</w:t>
      </w:r>
      <w:r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редоставената документация за докторантурата и </w:t>
      </w:r>
      <w:r w:rsidR="00856BE6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за </w:t>
      </w:r>
      <w:r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предварителното обсъждане на дисертационния труд </w:t>
      </w:r>
      <w:r w:rsidR="00856BE6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показва, че </w:t>
      </w:r>
      <w:r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>всички изисквания на Закона за развитието на академичния състав в Република България, на Правилника за прилагането му и на Правилника за условията и реда за придобиване на научни степени и заемане на академични длъжности в СУ са спазени. Документите по конкурса съответстват на всички нормативни изисквания и доказват основателността и законосъобразността на процедурата.</w:t>
      </w:r>
    </w:p>
    <w:p w:rsidR="00F11870" w:rsidRPr="00CB3027" w:rsidRDefault="00F11870" w:rsidP="00CB302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NewRomanPSMT" w:eastAsia="Calibri" w:hAnsi="TimesNewRomanPSMT" w:cs="TimesNewRomanPSMT"/>
          <w:sz w:val="24"/>
          <w:szCs w:val="24"/>
          <w:lang w:val="bg-BG"/>
        </w:rPr>
      </w:pPr>
    </w:p>
    <w:p w:rsidR="00CB3027" w:rsidRPr="00CB3027" w:rsidRDefault="00CB3027" w:rsidP="00CB302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</w:pPr>
      <w:r w:rsidRPr="00CB3027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>Данни за дисертационния труд и за автореферата</w:t>
      </w:r>
    </w:p>
    <w:p w:rsidR="00CB3027" w:rsidRPr="002F2D9C" w:rsidRDefault="00CB3027" w:rsidP="002F2D9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Дисертационният труд на </w:t>
      </w:r>
      <w:r w:rsidR="002F2D9C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Енрике </w:t>
      </w:r>
      <w:proofErr w:type="spellStart"/>
      <w:r w:rsidR="002F2D9C">
        <w:rPr>
          <w:rFonts w:ascii="TimesNewRomanPSMT" w:eastAsia="Calibri" w:hAnsi="TimesNewRomanPSMT" w:cs="TimesNewRomanPSMT"/>
          <w:sz w:val="24"/>
          <w:szCs w:val="24"/>
          <w:lang w:val="bg-BG"/>
        </w:rPr>
        <w:t>Дореш</w:t>
      </w:r>
      <w:proofErr w:type="spellEnd"/>
      <w:r w:rsidR="002F2D9C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</w:t>
      </w:r>
      <w:r w:rsidR="002F2D9C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="002F2D9C" w:rsidRPr="002F2D9C">
        <w:rPr>
          <w:rFonts w:ascii="Times New Roman" w:eastAsia="Calibri" w:hAnsi="Times New Roman" w:cs="Times New Roman"/>
          <w:sz w:val="24"/>
          <w:szCs w:val="24"/>
          <w:lang w:val="bg-BG"/>
        </w:rPr>
        <w:t>Концептуалните ме</w:t>
      </w:r>
      <w:r w:rsidR="002F2D9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тафори и прагматичният контекст </w:t>
      </w:r>
      <w:r w:rsidR="002F2D9C" w:rsidRPr="002F2D9C">
        <w:rPr>
          <w:rFonts w:ascii="Times New Roman" w:eastAsia="Calibri" w:hAnsi="Times New Roman" w:cs="Times New Roman"/>
          <w:sz w:val="24"/>
          <w:szCs w:val="24"/>
          <w:lang w:val="bg-BG"/>
        </w:rPr>
        <w:t>в политическите речи (на испански и португалски)“</w:t>
      </w:r>
      <w:r w:rsidRPr="00CB302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2F2D9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с общ обем от 326 стр. </w:t>
      </w:r>
      <w:r w:rsidR="00551E2D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551E2D" w:rsidRPr="00CB3027">
        <w:rPr>
          <w:rFonts w:ascii="Times New Roman" w:eastAsia="Calibri" w:hAnsi="Times New Roman" w:cs="Times New Roman"/>
          <w:sz w:val="24"/>
          <w:szCs w:val="24"/>
          <w:lang w:val="bg-BG"/>
        </w:rPr>
        <w:t>ъщински</w:t>
      </w:r>
      <w:r w:rsidR="00551E2D">
        <w:rPr>
          <w:rFonts w:ascii="Times New Roman" w:eastAsia="Calibri" w:hAnsi="Times New Roman" w:cs="Times New Roman"/>
          <w:sz w:val="24"/>
          <w:szCs w:val="24"/>
          <w:lang w:val="bg-BG"/>
        </w:rPr>
        <w:t>ят</w:t>
      </w:r>
      <w:r w:rsidR="00551E2D" w:rsidRPr="00CB30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текст</w:t>
      </w:r>
      <w:r w:rsidR="00551E2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включва</w:t>
      </w:r>
      <w:r w:rsidR="002F2D9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295</w:t>
      </w:r>
      <w:r w:rsidR="00551E2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стр. и е</w:t>
      </w:r>
      <w:r w:rsidRPr="00CB30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структуриран в</w:t>
      </w:r>
      <w:r w:rsidR="002F2D9C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увод, четири глави и заключение</w:t>
      </w:r>
      <w:r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. </w:t>
      </w:r>
      <w:r w:rsidR="002F2D9C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Като втори том към дисертацията са оформени 23 приложения, представящи анализираните </w:t>
      </w:r>
      <w:r w:rsidR="005025F9">
        <w:rPr>
          <w:rFonts w:ascii="TimesNewRomanPSMT" w:eastAsia="Calibri" w:hAnsi="TimesNewRomanPSMT" w:cs="TimesNewRomanPSMT"/>
          <w:sz w:val="24"/>
          <w:szCs w:val="24"/>
          <w:lang w:val="bg-BG"/>
        </w:rPr>
        <w:t>емпирични данни в текстов формат</w:t>
      </w:r>
      <w:r w:rsidR="005025F9" w:rsidRPr="005025F9">
        <w:rPr>
          <w:rFonts w:ascii="TimesNewRomanPSMT" w:eastAsia="Calibri" w:hAnsi="TimesNewRomanPSMT" w:cs="TimesNewRomanPSMT"/>
          <w:sz w:val="24"/>
          <w:szCs w:val="24"/>
          <w:lang w:val="bg-BG"/>
        </w:rPr>
        <w:t>: тринадесет речи на испански президенти и десет речи на португалски министър-председатели</w:t>
      </w:r>
      <w:r w:rsidR="00A70E8D" w:rsidRPr="00A70E8D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</w:t>
      </w:r>
      <w:r w:rsidR="00A70E8D" w:rsidRPr="005025F9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при встъпването </w:t>
      </w:r>
      <w:r w:rsidR="00A70E8D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им </w:t>
      </w:r>
      <w:r w:rsidR="00A70E8D" w:rsidRPr="005025F9">
        <w:rPr>
          <w:rFonts w:ascii="TimesNewRomanPSMT" w:eastAsia="Calibri" w:hAnsi="TimesNewRomanPSMT" w:cs="TimesNewRomanPSMT"/>
          <w:sz w:val="24"/>
          <w:szCs w:val="24"/>
          <w:lang w:val="bg-BG"/>
        </w:rPr>
        <w:t>в длъжност</w:t>
      </w:r>
      <w:r w:rsidR="005025F9" w:rsidRPr="005025F9">
        <w:rPr>
          <w:rFonts w:ascii="TimesNewRomanPSMT" w:eastAsia="Calibri" w:hAnsi="TimesNewRomanPSMT" w:cs="TimesNewRomanPSMT"/>
          <w:sz w:val="24"/>
          <w:szCs w:val="24"/>
          <w:lang w:val="bg-BG"/>
        </w:rPr>
        <w:t>.</w:t>
      </w:r>
      <w:r w:rsidR="00A70E8D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</w:t>
      </w:r>
      <w:r w:rsidR="00E225A2">
        <w:rPr>
          <w:rFonts w:ascii="TimesNewRomanPSMT" w:eastAsia="Calibri" w:hAnsi="TimesNewRomanPSMT" w:cs="TimesNewRomanPSMT"/>
          <w:sz w:val="24"/>
          <w:szCs w:val="24"/>
          <w:lang w:val="bg-BG"/>
        </w:rPr>
        <w:t>Списъкът с цитираните 160 библиографски единици (на английски, испански и португалски</w:t>
      </w:r>
      <w:r w:rsidRPr="00CB3027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език) показва задълбочените теоретични познания на докторанта в областта на семиотиката</w:t>
      </w:r>
      <w:r w:rsidR="00E225A2">
        <w:rPr>
          <w:rFonts w:ascii="TimesNewRomanPSMT" w:eastAsia="Calibri" w:hAnsi="TimesNewRomanPSMT" w:cs="TimesNewRomanPSMT"/>
          <w:sz w:val="24"/>
          <w:szCs w:val="24"/>
          <w:lang w:val="bg-BG"/>
        </w:rPr>
        <w:t>, теорията на комуникацията, прагматиката, анализите на дискурса. Добре би било данните за използваните записи да бъде в от</w:t>
      </w:r>
      <w:r w:rsidR="00551E2D">
        <w:rPr>
          <w:rFonts w:ascii="TimesNewRomanPSMT" w:eastAsia="Calibri" w:hAnsi="TimesNewRomanPSMT" w:cs="TimesNewRomanPSMT"/>
          <w:sz w:val="24"/>
          <w:szCs w:val="24"/>
          <w:lang w:val="bg-BG"/>
        </w:rPr>
        <w:t>делен списък с източници, а не да са в</w:t>
      </w:r>
      <w:r w:rsidR="00E225A2">
        <w:rPr>
          <w:rFonts w:ascii="TimesNewRomanPSMT" w:eastAsia="Calibri" w:hAnsi="TimesNewRomanPSMT" w:cs="TimesNewRomanPSMT"/>
          <w:sz w:val="24"/>
          <w:szCs w:val="24"/>
          <w:lang w:val="bg-BG"/>
        </w:rPr>
        <w:t xml:space="preserve"> списъка с цитираните научни публикации. </w:t>
      </w:r>
    </w:p>
    <w:p w:rsidR="00E266F1" w:rsidRDefault="00CB3027" w:rsidP="00E266F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CB3027">
        <w:rPr>
          <w:rFonts w:ascii="Times New Roman" w:eastAsia="Calibri" w:hAnsi="Times New Roman" w:cs="Times New Roman"/>
          <w:i/>
          <w:sz w:val="24"/>
          <w:szCs w:val="24"/>
          <w:lang w:val="bg-BG"/>
        </w:rPr>
        <w:t>Актуалност на разработвания в дисертационния труд проблем</w:t>
      </w:r>
    </w:p>
    <w:p w:rsidR="00CB3027" w:rsidRPr="00CB3027" w:rsidRDefault="00E266F1" w:rsidP="006C767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Дисертационният труд намира своето място в контекста на редица пр</w:t>
      </w:r>
      <w:r w:rsidR="00551E2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едходни изследователски проекти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върху данни от различни езикови и политически ситуации. Анализът на политическия дискурс – независимо от конкретната езикова система, в която е по</w:t>
      </w:r>
      <w:r w:rsidR="007D1964">
        <w:rPr>
          <w:rFonts w:ascii="Times New Roman" w:eastAsia="Calibri" w:hAnsi="Times New Roman" w:cs="Times New Roman"/>
          <w:sz w:val="24"/>
          <w:szCs w:val="24"/>
          <w:lang w:val="bg-BG"/>
        </w:rPr>
        <w:t>зициониран, показва нарастващото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значение на символния характер на </w:t>
      </w:r>
      <w:r w:rsidR="007D1964">
        <w:rPr>
          <w:rFonts w:ascii="Times New Roman" w:eastAsia="Calibri" w:hAnsi="Times New Roman" w:cs="Times New Roman"/>
          <w:sz w:val="24"/>
          <w:szCs w:val="24"/>
          <w:lang w:val="bg-BG"/>
        </w:rPr>
        <w:t>комуникацията и осезаемо</w:t>
      </w:r>
      <w:r w:rsidR="00551E2D">
        <w:rPr>
          <w:rFonts w:ascii="Times New Roman" w:eastAsia="Calibri" w:hAnsi="Times New Roman" w:cs="Times New Roman"/>
          <w:sz w:val="24"/>
          <w:szCs w:val="24"/>
          <w:lang w:val="bg-BG"/>
        </w:rPr>
        <w:t>то</w:t>
      </w:r>
      <w:r w:rsidR="007D196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търсене на персонализация и образност в политическите послания. </w:t>
      </w:r>
      <w:r w:rsidR="00AF0491">
        <w:rPr>
          <w:rFonts w:ascii="Times New Roman" w:eastAsia="Calibri" w:hAnsi="Times New Roman" w:cs="Times New Roman"/>
          <w:sz w:val="24"/>
          <w:szCs w:val="24"/>
          <w:lang w:val="bg-BG"/>
        </w:rPr>
        <w:t>В условията на променливо доверие от страна на гражданите към политиците</w:t>
      </w:r>
      <w:r w:rsidR="00551E2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на </w:t>
      </w:r>
      <w:r w:rsidR="00AF0491">
        <w:rPr>
          <w:rFonts w:ascii="Times New Roman" w:eastAsia="Calibri" w:hAnsi="Times New Roman" w:cs="Times New Roman"/>
          <w:sz w:val="24"/>
          <w:szCs w:val="24"/>
          <w:lang w:val="bg-BG"/>
        </w:rPr>
        <w:t>проти</w:t>
      </w:r>
      <w:r w:rsidR="00551E2D">
        <w:rPr>
          <w:rFonts w:ascii="Times New Roman" w:eastAsia="Calibri" w:hAnsi="Times New Roman" w:cs="Times New Roman"/>
          <w:sz w:val="24"/>
          <w:szCs w:val="24"/>
          <w:lang w:val="bg-BG"/>
        </w:rPr>
        <w:t>воречиви оценки з</w:t>
      </w:r>
      <w:r w:rsidR="00AF049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 политически идеи и платформи е оправдано да се променят теоретичната рамка и методологията в анализите на политическия дискурс. Изследователските програми в полето на политическата комуникация </w:t>
      </w:r>
      <w:r w:rsidR="006C767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все по-устойчиво </w:t>
      </w:r>
      <w:r w:rsidR="00701FF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се реализират </w:t>
      </w:r>
      <w:r w:rsidR="006C767D">
        <w:rPr>
          <w:rFonts w:ascii="Times New Roman" w:eastAsia="Calibri" w:hAnsi="Times New Roman" w:cs="Times New Roman"/>
          <w:sz w:val="24"/>
          <w:szCs w:val="24"/>
          <w:lang w:val="bg-BG"/>
        </w:rPr>
        <w:t>чрез интердисциплинарни методики, позволяващи анализ на симв</w:t>
      </w:r>
      <w:r w:rsidR="00551E2D">
        <w:rPr>
          <w:rFonts w:ascii="Times New Roman" w:eastAsia="Calibri" w:hAnsi="Times New Roman" w:cs="Times New Roman"/>
          <w:sz w:val="24"/>
          <w:szCs w:val="24"/>
          <w:lang w:val="bg-BG"/>
        </w:rPr>
        <w:t>олната функция на езика, конструирането на значения/смисли в</w:t>
      </w:r>
      <w:r w:rsidR="006C767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посланията, </w:t>
      </w:r>
      <w:proofErr w:type="spellStart"/>
      <w:r w:rsidR="006C767D">
        <w:rPr>
          <w:rFonts w:ascii="Times New Roman" w:eastAsia="Calibri" w:hAnsi="Times New Roman" w:cs="Times New Roman"/>
          <w:sz w:val="24"/>
          <w:szCs w:val="24"/>
          <w:lang w:val="bg-BG"/>
        </w:rPr>
        <w:t>илокутивните</w:t>
      </w:r>
      <w:proofErr w:type="spellEnd"/>
      <w:r w:rsidR="006C767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="006C767D">
        <w:rPr>
          <w:rFonts w:ascii="Times New Roman" w:eastAsia="Calibri" w:hAnsi="Times New Roman" w:cs="Times New Roman"/>
          <w:sz w:val="24"/>
          <w:szCs w:val="24"/>
          <w:lang w:val="bg-BG"/>
        </w:rPr>
        <w:t>перлокутивните</w:t>
      </w:r>
      <w:proofErr w:type="spellEnd"/>
      <w:r w:rsidR="006C767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страни на </w:t>
      </w:r>
      <w:r w:rsidR="00551E2D">
        <w:rPr>
          <w:rFonts w:ascii="Times New Roman" w:eastAsia="Calibri" w:hAnsi="Times New Roman" w:cs="Times New Roman"/>
          <w:sz w:val="24"/>
          <w:szCs w:val="24"/>
          <w:lang w:val="bg-BG"/>
        </w:rPr>
        <w:t>използваните речеви</w:t>
      </w:r>
      <w:r w:rsidR="006C767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актове. </w:t>
      </w:r>
      <w:r w:rsidR="00AF049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Посочените факти </w:t>
      </w:r>
      <w:r w:rsidR="00CB3027" w:rsidRPr="00CB30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определят актуалността на разработваната проблематика в научно-приложно отношение и важността й за разширяване на теоретичните знания в една интердисциплинарна област между семиотиката, </w:t>
      </w:r>
      <w:r w:rsidR="00551E2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общата теория на комуникацията, социалните и политическите науки. </w:t>
      </w:r>
      <w:r w:rsidR="00A70E8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Авторът </w:t>
      </w:r>
      <w:r w:rsidR="007918C9">
        <w:rPr>
          <w:rFonts w:ascii="Times New Roman" w:eastAsia="Calibri" w:hAnsi="Times New Roman" w:cs="Times New Roman"/>
          <w:sz w:val="24"/>
          <w:szCs w:val="24"/>
          <w:lang w:val="bg-BG"/>
        </w:rPr>
        <w:t>насочва</w:t>
      </w:r>
      <w:r w:rsidR="007918C9" w:rsidRPr="007918C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вниманието</w:t>
      </w:r>
      <w:r w:rsidR="007918C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си</w:t>
      </w:r>
      <w:r w:rsidR="007918C9" w:rsidRPr="007918C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потенциал</w:t>
      </w:r>
      <w:r w:rsidR="007918C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 на концептуалните метафори </w:t>
      </w:r>
      <w:r w:rsidR="007918C9" w:rsidRPr="007918C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процеса на </w:t>
      </w:r>
      <w:r w:rsidR="007918C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комуникативно взаимодействие в политическия дискурс. Той </w:t>
      </w:r>
      <w:r w:rsidR="007918C9" w:rsidRPr="007918C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анализира </w:t>
      </w:r>
      <w:r w:rsidR="007918C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метафорите като част от </w:t>
      </w:r>
      <w:r w:rsidR="007918C9" w:rsidRPr="007918C9">
        <w:rPr>
          <w:rFonts w:ascii="Times New Roman" w:eastAsia="Calibri" w:hAnsi="Times New Roman" w:cs="Times New Roman"/>
          <w:sz w:val="24"/>
          <w:szCs w:val="24"/>
          <w:lang w:val="bg-BG"/>
        </w:rPr>
        <w:t>езикови стратегии</w:t>
      </w:r>
      <w:r w:rsidR="007918C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при чието реализиране в конкретен контекст си взаимодействат комуникативно намерение, мотивация и езиков избор. </w:t>
      </w:r>
    </w:p>
    <w:p w:rsidR="00CB3027" w:rsidRPr="00CB3027" w:rsidRDefault="00CB3027" w:rsidP="00CB302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bg-BG"/>
        </w:rPr>
      </w:pPr>
      <w:r w:rsidRPr="00CB3027">
        <w:rPr>
          <w:rFonts w:ascii="Times New Roman" w:eastAsia="Calibri" w:hAnsi="Times New Roman" w:cs="Times New Roman"/>
          <w:i/>
          <w:color w:val="000000"/>
          <w:sz w:val="24"/>
          <w:szCs w:val="24"/>
          <w:lang w:val="bg-BG"/>
        </w:rPr>
        <w:lastRenderedPageBreak/>
        <w:t>Представяне на състоянието на проблема и на литературата по темата</w:t>
      </w:r>
    </w:p>
    <w:p w:rsidR="005025F9" w:rsidRPr="003E55DC" w:rsidRDefault="00551E2D" w:rsidP="005241A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Енрике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Дореш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="00CB3027"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познава теоретич</w:t>
      </w:r>
      <w:r w:rsidR="003E55DC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ните постановки на съвременните когнитивни науки, занимаващи се с анализ на различни </w:t>
      </w:r>
      <w:proofErr w:type="spellStart"/>
      <w:r w:rsidR="003E55DC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дискурсни</w:t>
      </w:r>
      <w:proofErr w:type="spellEnd"/>
      <w:r w:rsidR="003E55DC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практики, както и на актуалните концепции в областта на </w:t>
      </w:r>
      <w:r w:rsidR="003712D0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когнитивната лингвистика, лингвистиката на текста и </w:t>
      </w:r>
      <w:r w:rsidR="003E55DC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лингвистичната прагматика. Доказателство за това е задълбоченият преглед на </w:t>
      </w:r>
      <w:r w:rsidR="00CB3027"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литера</w:t>
      </w:r>
      <w:r w:rsidR="003E55DC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турата, направен в първа глава. Авторът коментира генезиса в разбирането за м</w:t>
      </w:r>
      <w:r w:rsidR="003E55DC" w:rsidRPr="003E55DC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етафората в когнитивната лингвистика</w:t>
      </w:r>
      <w:r w:rsidR="003E55DC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, същността на теорията на концептуалната метафора, т</w:t>
      </w:r>
      <w:r w:rsidR="003E55DC" w:rsidRPr="003E55DC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еорията за речевите актове </w:t>
      </w:r>
      <w:r w:rsidR="003E55DC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и приложението ѝ при анализ на политическия дискурс,  комуникативно действие, постановките на </w:t>
      </w:r>
      <w:r w:rsidR="004F2970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П. </w:t>
      </w:r>
      <w:proofErr w:type="spellStart"/>
      <w:r w:rsidR="004F2970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Грайс</w:t>
      </w:r>
      <w:proofErr w:type="spellEnd"/>
      <w:r w:rsidR="004F2970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за принципите на успешната комуникация, теорията на </w:t>
      </w:r>
      <w:proofErr w:type="spellStart"/>
      <w:r w:rsidR="004F2970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релевантността</w:t>
      </w:r>
      <w:proofErr w:type="spellEnd"/>
      <w:r w:rsidR="004F2970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, теорията на учтивостта, както и теорията на аргументацията. </w:t>
      </w:r>
      <w:r w:rsidR="00CB3027"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Така се очертава общотеоретичната рамка на дисе</w:t>
      </w:r>
      <w:r w:rsidR="004F2970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ртацията, произтичаща от идеята за наличието на „пресечна точка“ и</w:t>
      </w:r>
      <w:r w:rsidR="00CB3027"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="00A70E8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динамично</w:t>
      </w:r>
      <w:r w:rsidR="004F2970" w:rsidRPr="004F2970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взаимодействие между концептуалната м</w:t>
      </w:r>
      <w:r w:rsidR="00A70E8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етафора и политическия дискурс (а и между </w:t>
      </w:r>
      <w:r w:rsidR="004F2970" w:rsidRPr="004F2970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прагматиката и реториката</w:t>
      </w:r>
      <w:r w:rsidR="00A70E8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)</w:t>
      </w:r>
      <w:r w:rsidR="004F2970" w:rsidRPr="004F2970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.</w:t>
      </w:r>
      <w:r w:rsidR="005025F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З</w:t>
      </w:r>
      <w:r w:rsidR="005025F9" w:rsidRPr="005025F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адълбочени теоретични познания в областта на когнитивната лингвистика и прагматика</w:t>
      </w:r>
      <w:r w:rsidR="005025F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та</w:t>
      </w:r>
      <w:r w:rsidR="005025F9" w:rsidRPr="005025F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(теория на концептуалната метафора, теория на речевия акт, теории за политически</w:t>
      </w:r>
      <w:r w:rsidR="005025F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я дискурс и комуникация и др.) са основата за разработване на </w:t>
      </w:r>
      <w:r w:rsidR="005025F9" w:rsidRPr="005025F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комплексна методология, включваща методи от реториката, прагматиката, анализа на дискурса, теорията на концептуалната метафора и др.</w:t>
      </w:r>
      <w:r w:rsidR="00A70E8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Т</w:t>
      </w:r>
      <w:r w:rsidR="005025F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я е представена и убедително аргументирана във в</w:t>
      </w:r>
      <w:r w:rsidR="005025F9" w:rsidRPr="005025F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тората глава </w:t>
      </w:r>
      <w:r w:rsidR="005025F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на текста. </w:t>
      </w:r>
      <w:r w:rsidR="005025F9" w:rsidRPr="005025F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Методиката, приложена</w:t>
      </w:r>
      <w:r w:rsidR="005025F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при съставянето на изследователския корпус и при анализа на емпиричните данни, </w:t>
      </w:r>
      <w:r w:rsidR="005025F9" w:rsidRPr="005025F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е адекват</w:t>
      </w:r>
      <w:r w:rsidR="005025F9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на на поставените научни задачи и позволява формулирането на обективни изводи за ролята на концептуалните метафори в политическата комуникация. </w:t>
      </w:r>
    </w:p>
    <w:p w:rsidR="00CB3027" w:rsidRPr="00CB3027" w:rsidRDefault="00CB3027" w:rsidP="00CB3027">
      <w:pPr>
        <w:tabs>
          <w:tab w:val="left" w:pos="4111"/>
        </w:tabs>
        <w:autoSpaceDE w:val="0"/>
        <w:autoSpaceDN w:val="0"/>
        <w:adjustRightInd w:val="0"/>
        <w:spacing w:after="0" w:line="276" w:lineRule="auto"/>
        <w:ind w:left="720" w:hanging="153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CB3027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Кратка х</w:t>
      </w:r>
      <w:r w:rsidRPr="00CB3027">
        <w:rPr>
          <w:rFonts w:ascii="Times New Roman" w:eastAsia="Calibri" w:hAnsi="Times New Roman" w:cs="Times New Roman"/>
          <w:i/>
          <w:color w:val="000000"/>
          <w:sz w:val="24"/>
          <w:szCs w:val="24"/>
          <w:lang w:val="bg-BG"/>
        </w:rPr>
        <w:t>арактеристика на научните и/или научно-приложните приноси</w:t>
      </w:r>
    </w:p>
    <w:p w:rsidR="005241A6" w:rsidRPr="00643E34" w:rsidRDefault="00CB3027" w:rsidP="003A1798">
      <w:pPr>
        <w:tabs>
          <w:tab w:val="left" w:pos="411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CB3027">
        <w:rPr>
          <w:rFonts w:ascii="Times New Roman" w:eastAsia="Calibri" w:hAnsi="Times New Roman" w:cs="Times New Roman"/>
          <w:sz w:val="24"/>
          <w:szCs w:val="24"/>
          <w:lang w:val="bg-BG"/>
        </w:rPr>
        <w:t>Представеният труд показва безспорнит</w:t>
      </w:r>
      <w:r w:rsidR="005241A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постижения на Енрике </w:t>
      </w:r>
      <w:proofErr w:type="spellStart"/>
      <w:r w:rsidR="005241A6">
        <w:rPr>
          <w:rFonts w:ascii="Times New Roman" w:eastAsia="Calibri" w:hAnsi="Times New Roman" w:cs="Times New Roman"/>
          <w:sz w:val="24"/>
          <w:szCs w:val="24"/>
          <w:lang w:val="bg-BG"/>
        </w:rPr>
        <w:t>Дореш</w:t>
      </w:r>
      <w:proofErr w:type="spellEnd"/>
      <w:r w:rsidRPr="00CB30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при </w:t>
      </w:r>
      <w:r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решаването на научно-приложен проблем чрез методи, съответстващи на съвременните по</w:t>
      </w:r>
      <w:r w:rsidR="005241A6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стижения в когнитивните науки</w:t>
      </w:r>
      <w:r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. </w:t>
      </w:r>
      <w:r w:rsidR="005241A6" w:rsidRP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Обект на анализ в дисертацията е политическият дискурс в Испания (от 1982 г. до 2020 г.) и в Португалия (от 1974 г. до 2019 г.). </w:t>
      </w:r>
      <w:r w:rsidR="00643E34" w:rsidRP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Чрез проведеното корпусно изследване </w:t>
      </w:r>
      <w:r w:rsid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главно </w:t>
      </w:r>
      <w:r w:rsidR="00643E34" w:rsidRP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с качествени методи за анализ се проследява</w:t>
      </w:r>
      <w:r w:rsidR="005241A6" w:rsidRP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еволюцията на политическия език в двете страни, </w:t>
      </w:r>
      <w:r w:rsidR="00643E34" w:rsidRP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като се търсят </w:t>
      </w:r>
      <w:r w:rsidR="005241A6" w:rsidRP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сходни модели в структурата на политическите речи и в използването на концептуални метафори. </w:t>
      </w:r>
      <w:r w:rsid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Приносите на автора са най-ярко заявени в двете </w:t>
      </w:r>
      <w:proofErr w:type="spellStart"/>
      <w:r w:rsid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анализационни</w:t>
      </w:r>
      <w:proofErr w:type="spellEnd"/>
      <w:r w:rsid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части на дисертацията – трета и четвърта глава, в които са анализирани данните от двата </w:t>
      </w:r>
      <w:r w:rsidR="00643E34" w:rsidRP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корпуса</w:t>
      </w:r>
      <w:r w:rsid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с речи</w:t>
      </w:r>
      <w:r w:rsidR="00643E34" w:rsidRP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, групирани в отделни периоди</w:t>
      </w:r>
      <w:r w:rsid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. Установена е устойчивата употреба на </w:t>
      </w:r>
      <w:r w:rsidR="00643E34" w:rsidRP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концептуални метафори от семантичните полета </w:t>
      </w:r>
      <w:r w:rsidR="00643E34" w:rsidRPr="00643E34">
        <w:rPr>
          <w:rFonts w:ascii="Times New Roman" w:eastAsia="Calibri" w:hAnsi="Times New Roman" w:cs="Times New Roman"/>
          <w:i/>
          <w:color w:val="000000"/>
          <w:sz w:val="24"/>
          <w:szCs w:val="24"/>
          <w:lang w:val="bg-BG"/>
        </w:rPr>
        <w:t>изграждане</w:t>
      </w:r>
      <w:r w:rsid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, </w:t>
      </w:r>
      <w:r w:rsidR="00643E34" w:rsidRPr="00643E34">
        <w:rPr>
          <w:rFonts w:ascii="Times New Roman" w:eastAsia="Calibri" w:hAnsi="Times New Roman" w:cs="Times New Roman"/>
          <w:i/>
          <w:color w:val="000000"/>
          <w:sz w:val="24"/>
          <w:szCs w:val="24"/>
          <w:lang w:val="bg-BG"/>
        </w:rPr>
        <w:t>пътуване</w:t>
      </w:r>
      <w:r w:rsid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и </w:t>
      </w:r>
      <w:r w:rsidR="00643E34" w:rsidRPr="00643E34">
        <w:rPr>
          <w:rFonts w:ascii="Times New Roman" w:eastAsia="Calibri" w:hAnsi="Times New Roman" w:cs="Times New Roman"/>
          <w:i/>
          <w:color w:val="000000"/>
          <w:sz w:val="24"/>
          <w:szCs w:val="24"/>
          <w:lang w:val="bg-BG"/>
        </w:rPr>
        <w:t>конфликт</w:t>
      </w:r>
      <w:r w:rsid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. Н</w:t>
      </w:r>
      <w:r w:rsidR="00643E34" w:rsidRP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езависимо от времевия контекст </w:t>
      </w:r>
      <w:r w:rsidR="00341C3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те </w:t>
      </w:r>
      <w:r w:rsidR="00643E34" w:rsidRPr="00643E3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преобладават </w:t>
      </w:r>
      <w:r w:rsidR="00341C3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в речите на държавници от целия политически спектър и в двете страни. Включването на нови сем</w:t>
      </w:r>
      <w:r w:rsid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антични полета се наблюдава при промени в политическия контекст, в който се </w:t>
      </w:r>
      <w:r w:rsidR="00341C3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пр</w:t>
      </w:r>
      <w:r w:rsid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оизнася</w:t>
      </w:r>
      <w:r w:rsidR="00341C3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речта</w:t>
      </w:r>
      <w:r w:rsid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.</w:t>
      </w:r>
      <w:r w:rsidR="00341C3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(</w:t>
      </w:r>
      <w:r w:rsid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З</w:t>
      </w:r>
      <w:r w:rsidR="00341C3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а испански</w:t>
      </w:r>
      <w:r w:rsidR="003A1798" w:rsidRP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="00856BE6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например такива полета са</w:t>
      </w:r>
      <w:r w:rsidR="00341C31" w:rsidRPr="00341C3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="003A1798">
        <w:rPr>
          <w:rFonts w:ascii="Times New Roman" w:eastAsia="Calibri" w:hAnsi="Times New Roman" w:cs="Times New Roman"/>
          <w:i/>
          <w:color w:val="000000"/>
          <w:sz w:val="24"/>
          <w:szCs w:val="24"/>
          <w:lang w:val="bg-BG"/>
        </w:rPr>
        <w:t>Тероризмът е враг/чума; Животът е състезание; Д</w:t>
      </w:r>
      <w:r w:rsidR="00341C31" w:rsidRPr="00341C31">
        <w:rPr>
          <w:rFonts w:ascii="Times New Roman" w:eastAsia="Calibri" w:hAnsi="Times New Roman" w:cs="Times New Roman"/>
          <w:i/>
          <w:color w:val="000000"/>
          <w:sz w:val="24"/>
          <w:szCs w:val="24"/>
          <w:lang w:val="bg-BG"/>
        </w:rPr>
        <w:t>анъците са бреме</w:t>
      </w:r>
      <w:r w:rsidR="00341C3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; за</w:t>
      </w:r>
      <w:r w:rsidR="00341C31" w:rsidRPr="00341C3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португалски: </w:t>
      </w:r>
      <w:r w:rsidR="003A1798">
        <w:rPr>
          <w:rFonts w:ascii="Times New Roman" w:eastAsia="Calibri" w:hAnsi="Times New Roman" w:cs="Times New Roman"/>
          <w:i/>
          <w:color w:val="000000"/>
          <w:sz w:val="24"/>
          <w:szCs w:val="24"/>
          <w:lang w:val="bg-BG"/>
        </w:rPr>
        <w:t>Политиката е театрална пиеса, Б</w:t>
      </w:r>
      <w:r w:rsidR="00341C31" w:rsidRPr="00341C31">
        <w:rPr>
          <w:rFonts w:ascii="Times New Roman" w:eastAsia="Calibri" w:hAnsi="Times New Roman" w:cs="Times New Roman"/>
          <w:i/>
          <w:color w:val="000000"/>
          <w:sz w:val="24"/>
          <w:szCs w:val="24"/>
          <w:lang w:val="bg-BG"/>
        </w:rPr>
        <w:t>едността е заразна болест</w:t>
      </w:r>
      <w:r w:rsidR="003A1798">
        <w:rPr>
          <w:rFonts w:ascii="Times New Roman" w:eastAsia="Calibri" w:hAnsi="Times New Roman" w:cs="Times New Roman"/>
          <w:i/>
          <w:color w:val="000000"/>
          <w:sz w:val="24"/>
          <w:szCs w:val="24"/>
          <w:lang w:val="bg-BG"/>
        </w:rPr>
        <w:t>.</w:t>
      </w:r>
      <w:r w:rsid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) Тези наблюдения</w:t>
      </w:r>
      <w:r w:rsidR="00341C3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доказват </w:t>
      </w:r>
      <w:r w:rsidR="00341C31" w:rsidRPr="00341C3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силното влияние на контекста върху </w:t>
      </w:r>
      <w:r w:rsidR="00341C3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използваните езикови средства</w:t>
      </w:r>
      <w:r w:rsidR="00341C31" w:rsidRPr="00341C3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.</w:t>
      </w:r>
      <w:r w:rsid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="003A1798" w:rsidRP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Концептуалната метафора </w:t>
      </w:r>
      <w:r w:rsidR="003A1798" w:rsidRPr="003A1798">
        <w:rPr>
          <w:rFonts w:ascii="Times New Roman" w:eastAsia="Calibri" w:hAnsi="Times New Roman" w:cs="Times New Roman"/>
          <w:i/>
          <w:color w:val="000000"/>
          <w:sz w:val="24"/>
          <w:szCs w:val="24"/>
          <w:lang w:val="bg-BG"/>
        </w:rPr>
        <w:t>Политиката е религия</w:t>
      </w:r>
      <w:r w:rsid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е натоварена с противоположни конотации в двата анализирани корпуса. Интерпретирането на политическите послания чрез метафори, свързани </w:t>
      </w:r>
      <w:r w:rsidR="00856BE6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с </w:t>
      </w:r>
      <w:r w:rsid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морални ценности, е по-ярко заявено в речите на португалските политици. Данните от</w:t>
      </w:r>
      <w:r w:rsidR="003A1798" w:rsidRP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испанския корпус </w:t>
      </w:r>
      <w:r w:rsid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показват </w:t>
      </w:r>
      <w:r w:rsidR="003A1798" w:rsidRP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по-силно </w:t>
      </w:r>
      <w:r w:rsidR="003A1798" w:rsidRP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lastRenderedPageBreak/>
        <w:t>управление на груповите и инстит</w:t>
      </w:r>
      <w:r w:rsid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уционалните знания и </w:t>
      </w:r>
      <w:proofErr w:type="spellStart"/>
      <w:r w:rsid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доминация</w:t>
      </w:r>
      <w:proofErr w:type="spellEnd"/>
      <w:r w:rsid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на</w:t>
      </w:r>
      <w:r w:rsidR="00F154F3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="00F154F3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делиберативната</w:t>
      </w:r>
      <w:proofErr w:type="spellEnd"/>
      <w:r w:rsidR="00F154F3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реторика,</w:t>
      </w:r>
      <w:r w:rsidR="003A1798" w:rsidRP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="00F154F3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а тези от португалския</w:t>
      </w:r>
      <w:r w:rsidR="003A1798" w:rsidRP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корпус </w:t>
      </w:r>
      <w:r w:rsidR="00F154F3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– </w:t>
      </w:r>
      <w:r w:rsidR="003A1798" w:rsidRP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управление на знания, свързани с културата и национална</w:t>
      </w:r>
      <w:r w:rsidR="00F154F3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та идентичност и </w:t>
      </w:r>
      <w:r w:rsidR="003A1798" w:rsidRP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използването на </w:t>
      </w:r>
      <w:proofErr w:type="spellStart"/>
      <w:r w:rsidR="003A1798" w:rsidRP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епидейктичната</w:t>
      </w:r>
      <w:proofErr w:type="spellEnd"/>
      <w:r w:rsidR="003A1798" w:rsidRPr="003A179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реторика.</w:t>
      </w:r>
    </w:p>
    <w:p w:rsidR="00D03F3D" w:rsidRPr="00D03F3D" w:rsidRDefault="00856BE6" w:rsidP="00D03F3D">
      <w:pPr>
        <w:tabs>
          <w:tab w:val="left" w:pos="411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Прегледът на о</w:t>
      </w:r>
      <w:r w:rsidR="00D03F3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семте</w:t>
      </w:r>
      <w:r w:rsidR="00CB3027"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приноса, посочени от автора,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показва сериозни постижения в две основни посоки</w:t>
      </w:r>
      <w:r w:rsidR="00CB3027"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. </w:t>
      </w:r>
      <w:r w:rsidR="00D03F3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Значим научно-приложен принос </w:t>
      </w:r>
      <w:r w:rsidR="0047352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е </w:t>
      </w:r>
      <w:r w:rsidR="00D03F3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създадения</w:t>
      </w:r>
      <w:r w:rsidR="0047352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т</w:t>
      </w:r>
      <w:r w:rsidR="00D03F3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аналитичен изследователски модел, основаващ се на комплексна методика, която обединява </w:t>
      </w:r>
      <w:r w:rsidR="00D03F3D" w:rsidRPr="00D03F3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теорията на концептуалната метафора</w:t>
      </w:r>
      <w:r w:rsidR="00D03F3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и критическия анализ на дискурса</w:t>
      </w:r>
      <w:r w:rsidR="00D03F3D" w:rsidRPr="00D03F3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="00D03F3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с </w:t>
      </w:r>
      <w:r w:rsidR="00D03F3D" w:rsidRPr="00D03F3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идеите за моделирането на контекста. Приносен характ</w:t>
      </w:r>
      <w:r w:rsidR="00D03F3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ер имат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наблюденията и </w:t>
      </w:r>
      <w:r w:rsidR="00D03F3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изводите за</w:t>
      </w:r>
      <w:r w:rsidR="00D03F3D" w:rsidRPr="00D03F3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влиянието на контекста върху избора на </w:t>
      </w:r>
      <w:r w:rsidR="00D03F3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реторически подходи</w:t>
      </w:r>
      <w:r w:rsidR="0047352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и</w:t>
      </w:r>
      <w:r w:rsidR="00D03F3D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езиковото им реализиране.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Приложен принос е заявен чрез създаването на база данни с представителни политически текстове на испански и португалски</w:t>
      </w:r>
      <w:r w:rsidR="0047352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език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. Критическият анализ на ключови думи и изготвените честотни списъци могат да бъдат използвани в бъдещи съпоставителни проучвания в областта на политическата комуникация.</w:t>
      </w:r>
    </w:p>
    <w:p w:rsidR="00CB3027" w:rsidRPr="00856BE6" w:rsidRDefault="00CB3027" w:rsidP="00856BE6">
      <w:pPr>
        <w:tabs>
          <w:tab w:val="left" w:pos="4111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52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Авторефератът</w:t>
      </w:r>
      <w:r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на дисертацията изчерпателно и точно представя структурата на труда, резултатите от проучванията, практическите</w:t>
      </w:r>
      <w:r w:rsidR="00856BE6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резултати от анализите на емпиричните данни, </w:t>
      </w:r>
      <w:r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както и научните приноси на дисертационния труд. </w:t>
      </w:r>
    </w:p>
    <w:p w:rsidR="00CB3027" w:rsidRPr="00CB3027" w:rsidRDefault="00CB3027" w:rsidP="00CB3027">
      <w:pPr>
        <w:tabs>
          <w:tab w:val="left" w:pos="4111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</w:p>
    <w:p w:rsidR="00CB3027" w:rsidRPr="00CB3027" w:rsidRDefault="00CB3027" w:rsidP="00CB3027">
      <w:pPr>
        <w:autoSpaceDE w:val="0"/>
        <w:autoSpaceDN w:val="0"/>
        <w:adjustRightInd w:val="0"/>
        <w:spacing w:after="0" w:line="276" w:lineRule="auto"/>
        <w:ind w:left="720" w:hanging="15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</w:pPr>
      <w:r w:rsidRPr="00CB3027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>Преценка на публикациите по дисертационния труд</w:t>
      </w:r>
    </w:p>
    <w:p w:rsidR="00CB3027" w:rsidRPr="00CB3027" w:rsidRDefault="00CB3027" w:rsidP="00CB302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Представените публикации отговарят на минималните </w:t>
      </w:r>
      <w:r w:rsidR="0047352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национални </w:t>
      </w:r>
      <w:r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изисквания за придобиване на образователната и научна степен „доктор“. </w:t>
      </w:r>
      <w:r w:rsidR="00856BE6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Енрике </w:t>
      </w:r>
      <w:proofErr w:type="spellStart"/>
      <w:r w:rsidR="00856BE6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Дореш</w:t>
      </w:r>
      <w:proofErr w:type="spellEnd"/>
      <w:r w:rsidR="00856BE6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="008B636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е публикувал четири</w:t>
      </w:r>
      <w:r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статии по темата на дисертацията. </w:t>
      </w:r>
      <w:r w:rsidR="0047352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Една от статиите е в научно списание, две са</w:t>
      </w:r>
      <w:r w:rsidR="00473524"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в</w:t>
      </w:r>
      <w:r w:rsidR="0047352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сборници от научни прояви на СУ, а една</w:t>
      </w:r>
      <w:r w:rsidR="00473524"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– в сборник с доклади от международна научна конференция.</w:t>
      </w:r>
      <w:r w:rsidR="0047352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="008B6368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Всички публикации са на английски език. </w:t>
      </w:r>
    </w:p>
    <w:p w:rsidR="00CB3027" w:rsidRPr="00CB3027" w:rsidRDefault="00CB3027" w:rsidP="00CB30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</w:p>
    <w:p w:rsidR="00CB3027" w:rsidRPr="00CB3027" w:rsidRDefault="00CB3027" w:rsidP="00CB302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</w:pPr>
      <w:r w:rsidRPr="00CB3027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 xml:space="preserve">Заключение </w:t>
      </w:r>
    </w:p>
    <w:p w:rsidR="00CB3027" w:rsidRPr="00CB3027" w:rsidRDefault="00CB3027" w:rsidP="008B6368">
      <w:pPr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CB3027">
        <w:rPr>
          <w:rFonts w:ascii="TimesNewRomanPSMT" w:eastAsia="Calibri" w:hAnsi="TimesNewRomanPSMT" w:cs="TimesNewRomanPSMT"/>
          <w:color w:val="000000"/>
          <w:sz w:val="24"/>
          <w:szCs w:val="24"/>
          <w:lang w:val="bg-BG"/>
        </w:rPr>
        <w:t xml:space="preserve">Оценявайки актуалността на темата на дисертационния труд </w:t>
      </w:r>
      <w:r w:rsidR="008B6368" w:rsidRPr="008B6368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>„Концептуалните метафори и прагматичният контекст в политическите речи (на испански и португалски)“</w:t>
      </w:r>
      <w:r w:rsidRPr="00CB3027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 xml:space="preserve">, </w:t>
      </w:r>
      <w:r w:rsidR="00473524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 xml:space="preserve">задълбочеността на </w:t>
      </w:r>
      <w:r w:rsidRPr="00CB3027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/>
        </w:rPr>
        <w:t xml:space="preserve">постигнатите резултати и направените изводи, предлагам на </w:t>
      </w:r>
      <w:r w:rsidRPr="00CB3027">
        <w:rPr>
          <w:rFonts w:ascii="TimesNewRomanPSMT" w:eastAsia="Calibri" w:hAnsi="TimesNewRomanPSMT" w:cs="TimesNewRomanPSMT"/>
          <w:color w:val="000000"/>
          <w:sz w:val="24"/>
          <w:szCs w:val="24"/>
          <w:lang w:val="bg-BG"/>
        </w:rPr>
        <w:t xml:space="preserve">уважаваното Научно жури да присъди на </w:t>
      </w:r>
      <w:r w:rsidR="008B6368" w:rsidRPr="008B6368">
        <w:rPr>
          <w:rFonts w:ascii="TimesNewRomanPSMT" w:eastAsia="Calibri" w:hAnsi="TimesNewRomanPSMT" w:cs="TimesNewRomanPSMT"/>
          <w:color w:val="000000"/>
          <w:sz w:val="24"/>
          <w:szCs w:val="24"/>
          <w:lang w:val="bg-BG"/>
        </w:rPr>
        <w:t xml:space="preserve">Енрике </w:t>
      </w:r>
      <w:proofErr w:type="spellStart"/>
      <w:r w:rsidR="008B6368" w:rsidRPr="008B6368">
        <w:rPr>
          <w:rFonts w:ascii="TimesNewRomanPSMT" w:eastAsia="Calibri" w:hAnsi="TimesNewRomanPSMT" w:cs="TimesNewRomanPSMT"/>
          <w:color w:val="000000"/>
          <w:sz w:val="24"/>
          <w:szCs w:val="24"/>
          <w:lang w:val="bg-BG"/>
        </w:rPr>
        <w:t>Карлош</w:t>
      </w:r>
      <w:proofErr w:type="spellEnd"/>
      <w:r w:rsidR="008B6368" w:rsidRPr="008B6368">
        <w:rPr>
          <w:rFonts w:ascii="TimesNewRomanPSMT" w:eastAsia="Calibri" w:hAnsi="TimesNewRomanPSMT" w:cs="TimesNewRomanPSMT"/>
          <w:color w:val="000000"/>
          <w:sz w:val="24"/>
          <w:szCs w:val="24"/>
          <w:lang w:val="bg-BG"/>
        </w:rPr>
        <w:t xml:space="preserve"> </w:t>
      </w:r>
      <w:proofErr w:type="spellStart"/>
      <w:r w:rsidR="008B6368" w:rsidRPr="008B6368">
        <w:rPr>
          <w:rFonts w:ascii="TimesNewRomanPSMT" w:eastAsia="Calibri" w:hAnsi="TimesNewRomanPSMT" w:cs="TimesNewRomanPSMT"/>
          <w:color w:val="000000"/>
          <w:sz w:val="24"/>
          <w:szCs w:val="24"/>
          <w:lang w:val="bg-BG"/>
        </w:rPr>
        <w:t>Дореш</w:t>
      </w:r>
      <w:proofErr w:type="spellEnd"/>
      <w:r w:rsidR="008B6368" w:rsidRPr="008B6368">
        <w:rPr>
          <w:rFonts w:ascii="TimesNewRomanPSMT" w:eastAsia="Calibri" w:hAnsi="TimesNewRomanPSMT" w:cs="TimesNewRomanPSMT"/>
          <w:color w:val="000000"/>
          <w:sz w:val="24"/>
          <w:szCs w:val="24"/>
          <w:lang w:val="bg-BG"/>
        </w:rPr>
        <w:t xml:space="preserve"> </w:t>
      </w:r>
      <w:r w:rsidRPr="00CB3027">
        <w:rPr>
          <w:rFonts w:ascii="TimesNewRomanPSMT" w:eastAsia="Calibri" w:hAnsi="TimesNewRomanPSMT" w:cs="TimesNewRomanPSMT"/>
          <w:color w:val="000000"/>
          <w:sz w:val="24"/>
          <w:szCs w:val="24"/>
          <w:lang w:val="bg-BG"/>
        </w:rPr>
        <w:t xml:space="preserve">образователната и научна степен „доктор” в област на висшето образование 2. Хуманитарни науки, </w:t>
      </w:r>
      <w:r w:rsidRPr="00CB3027">
        <w:rPr>
          <w:rFonts w:ascii="Times New Roman" w:eastAsia="Calibri" w:hAnsi="Times New Roman" w:cs="Times New Roman"/>
          <w:sz w:val="24"/>
          <w:szCs w:val="24"/>
          <w:lang w:val="bg-BG"/>
        </w:rPr>
        <w:t>професионално направление 2.1. Филология</w:t>
      </w:r>
      <w:r w:rsidR="008B6368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CB30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B6368" w:rsidRPr="008B6368">
        <w:rPr>
          <w:rFonts w:ascii="Times New Roman" w:eastAsia="Calibri" w:hAnsi="Times New Roman" w:cs="Times New Roman"/>
          <w:sz w:val="24"/>
          <w:szCs w:val="24"/>
          <w:lang w:val="bg-BG"/>
        </w:rPr>
        <w:t>Общо и сравнително езикознание (Прагматика на текста)</w:t>
      </w:r>
      <w:r w:rsidR="008B636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8B6368" w:rsidRDefault="008B6368" w:rsidP="00CB30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</w:p>
    <w:p w:rsidR="008B6368" w:rsidRDefault="008B6368" w:rsidP="00CB30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</w:p>
    <w:p w:rsidR="00CB3027" w:rsidRPr="00CB3027" w:rsidRDefault="008B6368" w:rsidP="00CB30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17.07.2024</w:t>
      </w:r>
      <w:r w:rsidR="00CB3027"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г. </w:t>
      </w:r>
      <w:r w:rsidR="00CB3027"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ab/>
      </w:r>
      <w:r w:rsidR="00CB3027"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ab/>
      </w:r>
      <w:r w:rsidR="00CB3027"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ab/>
      </w:r>
      <w:r w:rsidR="00CB3027"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ab/>
      </w:r>
      <w:r w:rsidR="00CB3027"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ab/>
      </w:r>
      <w:r w:rsidR="00CB3027"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ab/>
      </w:r>
      <w:r w:rsidR="00CB3027"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ab/>
      </w:r>
      <w:r w:rsidR="00CB3027" w:rsidRPr="00CB3027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ab/>
        <w:t>проф. д-р Йовка Тишева</w:t>
      </w:r>
    </w:p>
    <w:p w:rsidR="008B5F57" w:rsidRDefault="008B5F57">
      <w:pPr>
        <w:rPr>
          <w:lang w:val="bg-BG"/>
        </w:rPr>
      </w:pPr>
    </w:p>
    <w:p w:rsidR="00DA3BE7" w:rsidRDefault="00DA3BE7">
      <w:pPr>
        <w:rPr>
          <w:lang w:val="bg-BG"/>
        </w:rPr>
      </w:pPr>
    </w:p>
    <w:p w:rsidR="00DA3BE7" w:rsidRDefault="00DA3BE7">
      <w:pPr>
        <w:rPr>
          <w:lang w:val="bg-BG"/>
        </w:rPr>
      </w:pPr>
    </w:p>
    <w:p w:rsidR="00DA3BE7" w:rsidRPr="00CB3027" w:rsidRDefault="00DA3BE7">
      <w:pPr>
        <w:rPr>
          <w:lang w:val="bg-BG"/>
        </w:rPr>
      </w:pPr>
    </w:p>
    <w:sectPr w:rsidR="00DA3BE7" w:rsidRPr="00CB3027" w:rsidSect="00E25AC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27"/>
    <w:rsid w:val="000567B4"/>
    <w:rsid w:val="00243A6F"/>
    <w:rsid w:val="002F2D9C"/>
    <w:rsid w:val="00341C31"/>
    <w:rsid w:val="003712D0"/>
    <w:rsid w:val="003A1798"/>
    <w:rsid w:val="003E55DC"/>
    <w:rsid w:val="00447BB2"/>
    <w:rsid w:val="004548B2"/>
    <w:rsid w:val="00473524"/>
    <w:rsid w:val="004F2970"/>
    <w:rsid w:val="005025F9"/>
    <w:rsid w:val="005241A6"/>
    <w:rsid w:val="00551E2D"/>
    <w:rsid w:val="0062583B"/>
    <w:rsid w:val="00643E34"/>
    <w:rsid w:val="006C767D"/>
    <w:rsid w:val="00701FF9"/>
    <w:rsid w:val="007918C9"/>
    <w:rsid w:val="007A68E3"/>
    <w:rsid w:val="007D1964"/>
    <w:rsid w:val="00856BE6"/>
    <w:rsid w:val="008B5F57"/>
    <w:rsid w:val="008B6368"/>
    <w:rsid w:val="00A70E8D"/>
    <w:rsid w:val="00AF0491"/>
    <w:rsid w:val="00C94472"/>
    <w:rsid w:val="00CB3027"/>
    <w:rsid w:val="00D03F3D"/>
    <w:rsid w:val="00D73323"/>
    <w:rsid w:val="00D76655"/>
    <w:rsid w:val="00DA3BE7"/>
    <w:rsid w:val="00DC5A03"/>
    <w:rsid w:val="00E225A2"/>
    <w:rsid w:val="00E266F1"/>
    <w:rsid w:val="00E43186"/>
    <w:rsid w:val="00F11870"/>
    <w:rsid w:val="00F154F3"/>
    <w:rsid w:val="00F6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330E9-229C-4F60-82DA-B4612EB1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Мариана Дикова</cp:lastModifiedBy>
  <cp:revision>2</cp:revision>
  <dcterms:created xsi:type="dcterms:W3CDTF">2024-04-19T12:22:00Z</dcterms:created>
  <dcterms:modified xsi:type="dcterms:W3CDTF">2024-04-19T12:22:00Z</dcterms:modified>
</cp:coreProperties>
</file>