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6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7071"/>
        <w:gridCol w:w="7797"/>
      </w:tblGrid>
      <w:tr w:rsidR="00121321">
        <w:trPr>
          <w:trHeight w:val="1723"/>
          <w:jc w:val="center"/>
        </w:trPr>
        <w:tc>
          <w:tcPr>
            <w:tcW w:w="14868" w:type="dxa"/>
            <w:gridSpan w:val="2"/>
            <w:shd w:val="clear" w:color="auto" w:fill="auto"/>
          </w:tcPr>
          <w:p w:rsidR="000C5187" w:rsidRDefault="00B57795" w:rsidP="00D72B42">
            <w:pPr>
              <w:ind w:left="540"/>
            </w:pPr>
            <w:r>
              <w:rPr>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4.2pt;width:66.05pt;height:80.9pt;z-index:-251658752;mso-position-horizontal:left" wrapcoords="9327 800 7118 1000 2455 3200 2455 4000 736 7600 1473 11400 5155 13600 6873 13600 7364 16800 8345 20000 8591 20200 12027 20200 12273 20000 13745 16800 14236 13600 19636 12200 20618 11200 19145 10400 20864 10400 20864 7400 20373 5800 19145 4000 19391 2800 15218 800 12027 800 9327 800" fillcolor="window">
                  <v:imagedata r:id="rId7" o:title=""/>
                  <w10:wrap type="tight"/>
                </v:shape>
                <o:OLEObject Type="Embed" ProgID="Word.Picture.8" ShapeID="_x0000_s1030" DrawAspect="Content" ObjectID="_1774961425" r:id="rId8"/>
              </w:object>
            </w:r>
            <w:bookmarkStart w:id="0" w:name="_GoBack"/>
            <w:bookmarkEnd w:id="0"/>
          </w:p>
          <w:p w:rsidR="005C6FA2" w:rsidRDefault="005C6FA2">
            <w:pPr>
              <w:jc w:val="center"/>
              <w:rPr>
                <w:rFonts w:ascii="Arial" w:hAnsi="Arial" w:cs="Arial"/>
                <w:sz w:val="32"/>
                <w:szCs w:val="32"/>
                <w:lang w:val="en-US"/>
              </w:rPr>
            </w:pPr>
          </w:p>
          <w:p w:rsidR="00121321" w:rsidRDefault="00121321">
            <w:pPr>
              <w:jc w:val="center"/>
              <w:rPr>
                <w:rFonts w:ascii="Calibri" w:hAnsi="Calibri" w:cs="Arial"/>
                <w:sz w:val="36"/>
                <w:szCs w:val="36"/>
              </w:rPr>
            </w:pPr>
            <w:r>
              <w:rPr>
                <w:rFonts w:ascii="Calibri" w:hAnsi="Calibri" w:cs="Arial"/>
                <w:sz w:val="36"/>
                <w:szCs w:val="36"/>
              </w:rPr>
              <w:t xml:space="preserve">СОФИЙСКИ </w:t>
            </w:r>
            <w:r w:rsidR="00325506">
              <w:rPr>
                <w:rFonts w:ascii="Calibri" w:hAnsi="Calibri" w:cs="Arial"/>
                <w:sz w:val="36"/>
                <w:szCs w:val="36"/>
                <w:lang w:val="en-US"/>
              </w:rPr>
              <w:t xml:space="preserve"> </w:t>
            </w:r>
            <w:r>
              <w:rPr>
                <w:rFonts w:ascii="Calibri" w:hAnsi="Calibri" w:cs="Arial"/>
                <w:sz w:val="36"/>
                <w:szCs w:val="36"/>
              </w:rPr>
              <w:t xml:space="preserve">УНИВЕРСИТЕТ </w:t>
            </w:r>
            <w:r w:rsidR="00325506">
              <w:rPr>
                <w:rFonts w:ascii="Calibri" w:hAnsi="Calibri" w:cs="Arial"/>
                <w:sz w:val="36"/>
                <w:szCs w:val="36"/>
                <w:lang w:val="en-US"/>
              </w:rPr>
              <w:t xml:space="preserve"> </w:t>
            </w:r>
            <w:r>
              <w:rPr>
                <w:rFonts w:ascii="Calibri" w:hAnsi="Calibri" w:cs="Arial"/>
                <w:sz w:val="36"/>
                <w:szCs w:val="36"/>
              </w:rPr>
              <w:t>„СВ. КЛИМЕНТ ОХРИДСКИ”</w:t>
            </w:r>
          </w:p>
        </w:tc>
      </w:tr>
      <w:tr w:rsidR="00451EE0">
        <w:trPr>
          <w:trHeight w:val="436"/>
          <w:jc w:val="center"/>
        </w:trPr>
        <w:tc>
          <w:tcPr>
            <w:tcW w:w="14868" w:type="dxa"/>
            <w:gridSpan w:val="2"/>
            <w:shd w:val="clear" w:color="auto" w:fill="auto"/>
            <w:vAlign w:val="center"/>
          </w:tcPr>
          <w:p w:rsidR="00451EE0" w:rsidRDefault="00451EE0" w:rsidP="00B23D89">
            <w:pPr>
              <w:jc w:val="center"/>
              <w:rPr>
                <w:rFonts w:ascii="Calibri" w:hAnsi="Calibri" w:cs="Tahoma"/>
                <w:sz w:val="28"/>
                <w:szCs w:val="28"/>
              </w:rPr>
            </w:pPr>
            <w:r>
              <w:rPr>
                <w:rFonts w:ascii="Calibri" w:hAnsi="Calibri" w:cs="Tahoma"/>
                <w:sz w:val="28"/>
                <w:szCs w:val="28"/>
              </w:rPr>
              <w:t>ФАКУЛТЕТ</w:t>
            </w:r>
            <w:r w:rsidR="00B23D89">
              <w:rPr>
                <w:rFonts w:ascii="Calibri" w:hAnsi="Calibri" w:cs="Tahoma"/>
                <w:sz w:val="28"/>
                <w:szCs w:val="28"/>
              </w:rPr>
              <w:t xml:space="preserve"> ПО КЛАСИЧЕСКИ И НОВИ ФИЛОЛОГИИ</w:t>
            </w:r>
          </w:p>
        </w:tc>
      </w:tr>
      <w:tr w:rsidR="00A65B37">
        <w:trPr>
          <w:trHeight w:val="1156"/>
          <w:jc w:val="center"/>
        </w:trPr>
        <w:tc>
          <w:tcPr>
            <w:tcW w:w="14868" w:type="dxa"/>
            <w:gridSpan w:val="2"/>
            <w:shd w:val="clear" w:color="auto" w:fill="auto"/>
            <w:vAlign w:val="center"/>
          </w:tcPr>
          <w:p w:rsidR="00A65B37" w:rsidRDefault="00A65B37">
            <w:pPr>
              <w:jc w:val="center"/>
              <w:rPr>
                <w:rFonts w:ascii="Calibri" w:hAnsi="Calibri" w:cs="Tahoma"/>
                <w:sz w:val="52"/>
                <w:szCs w:val="52"/>
              </w:rPr>
            </w:pPr>
            <w:r>
              <w:rPr>
                <w:rFonts w:ascii="Calibri" w:hAnsi="Calibri" w:cs="Tahoma"/>
                <w:sz w:val="52"/>
                <w:szCs w:val="52"/>
              </w:rPr>
              <w:t>У</w:t>
            </w:r>
            <w:r w:rsidR="00451EE0">
              <w:rPr>
                <w:rFonts w:ascii="Calibri" w:hAnsi="Calibri" w:cs="Tahoma"/>
                <w:sz w:val="52"/>
                <w:szCs w:val="52"/>
              </w:rPr>
              <w:t xml:space="preserve"> </w:t>
            </w:r>
            <w:r>
              <w:rPr>
                <w:rFonts w:ascii="Calibri" w:hAnsi="Calibri" w:cs="Tahoma"/>
                <w:sz w:val="52"/>
                <w:szCs w:val="52"/>
              </w:rPr>
              <w:t>Ч</w:t>
            </w:r>
            <w:r w:rsidR="00451EE0">
              <w:rPr>
                <w:rFonts w:ascii="Calibri" w:hAnsi="Calibri" w:cs="Tahoma"/>
                <w:sz w:val="52"/>
                <w:szCs w:val="52"/>
              </w:rPr>
              <w:t xml:space="preserve"> </w:t>
            </w:r>
            <w:r>
              <w:rPr>
                <w:rFonts w:ascii="Calibri" w:hAnsi="Calibri" w:cs="Tahoma"/>
                <w:sz w:val="52"/>
                <w:szCs w:val="52"/>
              </w:rPr>
              <w:t>Е</w:t>
            </w:r>
            <w:r w:rsidR="00451EE0">
              <w:rPr>
                <w:rFonts w:ascii="Calibri" w:hAnsi="Calibri" w:cs="Tahoma"/>
                <w:sz w:val="52"/>
                <w:szCs w:val="52"/>
              </w:rPr>
              <w:t xml:space="preserve"> </w:t>
            </w:r>
            <w:r>
              <w:rPr>
                <w:rFonts w:ascii="Calibri" w:hAnsi="Calibri" w:cs="Tahoma"/>
                <w:sz w:val="52"/>
                <w:szCs w:val="52"/>
              </w:rPr>
              <w:t>Б</w:t>
            </w:r>
            <w:r w:rsidR="00451EE0">
              <w:rPr>
                <w:rFonts w:ascii="Calibri" w:hAnsi="Calibri" w:cs="Tahoma"/>
                <w:sz w:val="52"/>
                <w:szCs w:val="52"/>
              </w:rPr>
              <w:t xml:space="preserve"> </w:t>
            </w:r>
            <w:r>
              <w:rPr>
                <w:rFonts w:ascii="Calibri" w:hAnsi="Calibri" w:cs="Tahoma"/>
                <w:sz w:val="52"/>
                <w:szCs w:val="52"/>
              </w:rPr>
              <w:t>Е</w:t>
            </w:r>
            <w:r w:rsidR="00451EE0">
              <w:rPr>
                <w:rFonts w:ascii="Calibri" w:hAnsi="Calibri" w:cs="Tahoma"/>
                <w:sz w:val="52"/>
                <w:szCs w:val="52"/>
              </w:rPr>
              <w:t xml:space="preserve"> </w:t>
            </w:r>
            <w:r w:rsidR="009F072D">
              <w:rPr>
                <w:rFonts w:ascii="Calibri" w:hAnsi="Calibri" w:cs="Tahoma"/>
                <w:sz w:val="52"/>
                <w:szCs w:val="52"/>
              </w:rPr>
              <w:t>Н      П</w:t>
            </w:r>
            <w:r w:rsidR="00451EE0">
              <w:rPr>
                <w:rFonts w:ascii="Calibri" w:hAnsi="Calibri" w:cs="Tahoma"/>
                <w:sz w:val="52"/>
                <w:szCs w:val="52"/>
              </w:rPr>
              <w:t xml:space="preserve"> </w:t>
            </w:r>
            <w:r>
              <w:rPr>
                <w:rFonts w:ascii="Calibri" w:hAnsi="Calibri" w:cs="Tahoma"/>
                <w:sz w:val="52"/>
                <w:szCs w:val="52"/>
              </w:rPr>
              <w:t>Л</w:t>
            </w:r>
            <w:r w:rsidR="00451EE0">
              <w:rPr>
                <w:rFonts w:ascii="Calibri" w:hAnsi="Calibri" w:cs="Tahoma"/>
                <w:sz w:val="52"/>
                <w:szCs w:val="52"/>
              </w:rPr>
              <w:t xml:space="preserve"> </w:t>
            </w:r>
            <w:r>
              <w:rPr>
                <w:rFonts w:ascii="Calibri" w:hAnsi="Calibri" w:cs="Tahoma"/>
                <w:sz w:val="52"/>
                <w:szCs w:val="52"/>
              </w:rPr>
              <w:t>А</w:t>
            </w:r>
            <w:r w:rsidR="00451EE0">
              <w:rPr>
                <w:rFonts w:ascii="Calibri" w:hAnsi="Calibri" w:cs="Tahoma"/>
                <w:sz w:val="52"/>
                <w:szCs w:val="52"/>
              </w:rPr>
              <w:t xml:space="preserve"> </w:t>
            </w:r>
            <w:r>
              <w:rPr>
                <w:rFonts w:ascii="Calibri" w:hAnsi="Calibri" w:cs="Tahoma"/>
                <w:sz w:val="52"/>
                <w:szCs w:val="52"/>
              </w:rPr>
              <w:t>Н</w:t>
            </w:r>
          </w:p>
        </w:tc>
      </w:tr>
      <w:tr w:rsidR="00A65B37">
        <w:trPr>
          <w:trHeight w:val="895"/>
          <w:jc w:val="center"/>
        </w:trPr>
        <w:tc>
          <w:tcPr>
            <w:tcW w:w="7071" w:type="dxa"/>
            <w:shd w:val="clear" w:color="auto" w:fill="auto"/>
            <w:vAlign w:val="bottom"/>
          </w:tcPr>
          <w:p w:rsidR="00A65B37" w:rsidRDefault="00A65B37" w:rsidP="007C0376">
            <w:pPr>
              <w:rPr>
                <w:rFonts w:ascii="Arial" w:hAnsi="Arial" w:cs="Arial"/>
                <w:lang w:val="en-US"/>
              </w:rPr>
            </w:pPr>
            <w:r>
              <w:rPr>
                <w:rFonts w:ascii="Arial" w:hAnsi="Arial" w:cs="Arial"/>
              </w:rPr>
              <w:t>Утвърждавам:</w:t>
            </w:r>
            <w:r w:rsidR="00AB21A9">
              <w:rPr>
                <w:rFonts w:ascii="Arial" w:hAnsi="Arial" w:cs="Arial"/>
                <w:sz w:val="28"/>
                <w:szCs w:val="28"/>
              </w:rPr>
              <w:t xml:space="preserve">   </w:t>
            </w:r>
            <w:r w:rsidR="00AB21A9">
              <w:rPr>
                <w:rFonts w:ascii="Arial" w:hAnsi="Arial" w:cs="Arial"/>
              </w:rPr>
              <w:t>....</w:t>
            </w:r>
            <w:r w:rsidR="00292718">
              <w:rPr>
                <w:rFonts w:ascii="Arial" w:hAnsi="Arial" w:cs="Arial"/>
              </w:rPr>
              <w:t>..............................</w:t>
            </w:r>
          </w:p>
          <w:p w:rsidR="00CF5161" w:rsidRDefault="00CF5161" w:rsidP="007C0376">
            <w:pPr>
              <w:rPr>
                <w:rFonts w:ascii="Arial Black" w:hAnsi="Arial Black" w:cs="Tahoma"/>
                <w:i/>
                <w:sz w:val="22"/>
                <w:szCs w:val="22"/>
                <w:u w:val="single"/>
              </w:rPr>
            </w:pPr>
          </w:p>
        </w:tc>
        <w:tc>
          <w:tcPr>
            <w:tcW w:w="7797" w:type="dxa"/>
            <w:shd w:val="clear" w:color="auto" w:fill="auto"/>
            <w:vAlign w:val="center"/>
          </w:tcPr>
          <w:p w:rsidR="00A65B37" w:rsidRDefault="00451EE0" w:rsidP="00AA1D5A">
            <w:pPr>
              <w:rPr>
                <w:rFonts w:ascii="Arial" w:hAnsi="Arial" w:cs="Arial"/>
              </w:rPr>
            </w:pPr>
            <w:r>
              <w:rPr>
                <w:rFonts w:ascii="Arial" w:hAnsi="Arial" w:cs="Arial"/>
              </w:rPr>
              <w:t>Утвърден о</w:t>
            </w:r>
            <w:r w:rsidR="00CC2267">
              <w:rPr>
                <w:rFonts w:ascii="Arial" w:hAnsi="Arial" w:cs="Arial"/>
              </w:rPr>
              <w:t>т Академически съвет с протокол</w:t>
            </w:r>
          </w:p>
          <w:p w:rsidR="005B5F22" w:rsidRDefault="00CC2267" w:rsidP="00AA1D5A">
            <w:pPr>
              <w:rPr>
                <w:rFonts w:ascii="Arial" w:hAnsi="Arial" w:cs="Arial"/>
              </w:rPr>
            </w:pPr>
            <w:r>
              <w:rPr>
                <w:rFonts w:ascii="Arial" w:hAnsi="Arial" w:cs="Arial"/>
                <w:lang w:val="en-US"/>
              </w:rPr>
              <w:t>№</w:t>
            </w:r>
            <w:r>
              <w:rPr>
                <w:rFonts w:ascii="Arial" w:hAnsi="Arial" w:cs="Arial"/>
              </w:rPr>
              <w:t xml:space="preserve">   </w:t>
            </w:r>
            <w:r w:rsidR="00451EE0">
              <w:rPr>
                <w:rFonts w:ascii="Arial" w:hAnsi="Arial" w:cs="Arial"/>
              </w:rPr>
              <w:t>.............</w:t>
            </w:r>
            <w:r w:rsidR="00713BA4">
              <w:rPr>
                <w:rFonts w:ascii="Arial" w:hAnsi="Arial" w:cs="Arial"/>
              </w:rPr>
              <w:t xml:space="preserve">  </w:t>
            </w:r>
            <w:r w:rsidR="00451EE0">
              <w:rPr>
                <w:rFonts w:ascii="Arial" w:hAnsi="Arial" w:cs="Arial"/>
              </w:rPr>
              <w:t>/</w:t>
            </w:r>
            <w:r w:rsidR="00713BA4">
              <w:rPr>
                <w:rFonts w:ascii="Arial" w:hAnsi="Arial" w:cs="Arial"/>
              </w:rPr>
              <w:t xml:space="preserve">  </w:t>
            </w:r>
            <w:r w:rsidR="00451EE0">
              <w:rPr>
                <w:rFonts w:ascii="Arial" w:hAnsi="Arial" w:cs="Arial"/>
              </w:rPr>
              <w:t>...............</w:t>
            </w:r>
          </w:p>
        </w:tc>
      </w:tr>
      <w:tr w:rsidR="00CC02BB">
        <w:trPr>
          <w:trHeight w:val="175"/>
          <w:jc w:val="center"/>
        </w:trPr>
        <w:tc>
          <w:tcPr>
            <w:tcW w:w="14868" w:type="dxa"/>
            <w:gridSpan w:val="2"/>
            <w:shd w:val="clear" w:color="auto" w:fill="auto"/>
            <w:vAlign w:val="center"/>
          </w:tcPr>
          <w:p w:rsidR="00CC02BB" w:rsidRDefault="00CC02BB">
            <w:pPr>
              <w:jc w:val="center"/>
              <w:rPr>
                <w:rFonts w:ascii="Arial" w:hAnsi="Arial" w:cs="Arial"/>
              </w:rPr>
            </w:pPr>
          </w:p>
        </w:tc>
      </w:tr>
      <w:tr w:rsidR="00451EE0">
        <w:trPr>
          <w:trHeight w:val="607"/>
          <w:jc w:val="center"/>
        </w:trPr>
        <w:tc>
          <w:tcPr>
            <w:tcW w:w="14868" w:type="dxa"/>
            <w:gridSpan w:val="2"/>
            <w:shd w:val="clear" w:color="auto" w:fill="auto"/>
          </w:tcPr>
          <w:p w:rsidR="00124C0F" w:rsidRPr="00625542" w:rsidRDefault="00451EE0" w:rsidP="00AA1D5A">
            <w:pPr>
              <w:rPr>
                <w:rFonts w:ascii="Arial" w:hAnsi="Arial" w:cs="Arial"/>
                <w:color w:val="333333"/>
              </w:rPr>
            </w:pPr>
            <w:r w:rsidRPr="00625542">
              <w:rPr>
                <w:rFonts w:ascii="Arial" w:hAnsi="Arial" w:cs="Arial"/>
                <w:color w:val="333333"/>
              </w:rPr>
              <w:t>Професионално направление:</w:t>
            </w:r>
            <w:r w:rsidR="006F4C22" w:rsidRPr="00625542">
              <w:rPr>
                <w:rFonts w:ascii="Arial" w:hAnsi="Arial" w:cs="Arial"/>
                <w:color w:val="333333"/>
              </w:rPr>
              <w:t xml:space="preserve"> </w:t>
            </w:r>
            <w:r w:rsidR="001D49FB" w:rsidRPr="001D49FB">
              <w:rPr>
                <w:rFonts w:ascii="Arial" w:hAnsi="Arial" w:cs="Arial"/>
                <w:color w:val="333333"/>
              </w:rPr>
              <w:t>3.1 Социология, антропология и науки за културата</w:t>
            </w:r>
            <w:r w:rsidR="001D49FB" w:rsidRPr="001D49FB">
              <w:rPr>
                <w:rFonts w:ascii="Arial" w:hAnsi="Arial" w:cs="Arial"/>
                <w:color w:val="333333"/>
              </w:rPr>
              <w:tab/>
            </w:r>
            <w:r w:rsidR="001D49FB" w:rsidRPr="001D49FB">
              <w:rPr>
                <w:rFonts w:ascii="Arial" w:hAnsi="Arial" w:cs="Arial"/>
                <w:color w:val="333333"/>
              </w:rPr>
              <w:tab/>
            </w:r>
            <w:r w:rsidR="001D49FB" w:rsidRPr="001D49FB">
              <w:rPr>
                <w:rFonts w:ascii="Arial" w:hAnsi="Arial" w:cs="Arial"/>
                <w:color w:val="333333"/>
              </w:rPr>
              <w:tab/>
            </w:r>
            <w:r w:rsidR="001D49FB" w:rsidRPr="001D49FB">
              <w:rPr>
                <w:rFonts w:ascii="Arial" w:hAnsi="Arial" w:cs="Arial"/>
                <w:color w:val="333333"/>
              </w:rPr>
              <w:tab/>
            </w:r>
            <w:r w:rsidR="001D49FB" w:rsidRPr="001D49FB">
              <w:rPr>
                <w:rFonts w:ascii="Arial" w:hAnsi="Arial" w:cs="Arial"/>
                <w:color w:val="333333"/>
              </w:rPr>
              <w:tab/>
            </w:r>
            <w:r w:rsidR="001D49FB" w:rsidRPr="001D49FB">
              <w:rPr>
                <w:rFonts w:ascii="Arial" w:hAnsi="Arial" w:cs="Arial"/>
                <w:color w:val="333333"/>
              </w:rPr>
              <w:tab/>
            </w:r>
            <w:r w:rsidR="001D49FB" w:rsidRPr="001D49FB">
              <w:rPr>
                <w:rFonts w:ascii="Arial" w:hAnsi="Arial" w:cs="Arial"/>
                <w:color w:val="333333"/>
              </w:rPr>
              <w:tab/>
            </w:r>
            <w:r w:rsidR="001D49FB" w:rsidRPr="001D49FB">
              <w:rPr>
                <w:rFonts w:ascii="Arial" w:hAnsi="Arial" w:cs="Arial"/>
                <w:color w:val="333333"/>
              </w:rPr>
              <w:tab/>
            </w:r>
            <w:r w:rsidR="001D49FB" w:rsidRPr="001D49FB">
              <w:rPr>
                <w:rFonts w:ascii="Arial" w:hAnsi="Arial" w:cs="Arial"/>
                <w:color w:val="333333"/>
              </w:rPr>
              <w:tab/>
            </w:r>
            <w:r w:rsidR="001D49FB" w:rsidRPr="001D49FB">
              <w:rPr>
                <w:rFonts w:ascii="Arial" w:hAnsi="Arial" w:cs="Arial"/>
                <w:color w:val="333333"/>
              </w:rPr>
              <w:tab/>
            </w:r>
            <w:r w:rsidR="001D49FB" w:rsidRPr="001D49FB">
              <w:rPr>
                <w:rFonts w:ascii="Arial" w:hAnsi="Arial" w:cs="Arial"/>
                <w:color w:val="333333"/>
              </w:rPr>
              <w:tab/>
            </w:r>
          </w:p>
          <w:p w:rsidR="00251567" w:rsidRPr="00625542" w:rsidRDefault="00251567" w:rsidP="006F4C22">
            <w:pPr>
              <w:rPr>
                <w:rFonts w:ascii="Arial" w:hAnsi="Arial" w:cs="Arial"/>
                <w:color w:val="333333"/>
              </w:rPr>
            </w:pPr>
            <w:r w:rsidRPr="00625542">
              <w:rPr>
                <w:rFonts w:ascii="Arial" w:hAnsi="Arial" w:cs="Arial"/>
                <w:color w:val="333333"/>
              </w:rPr>
              <w:t>ОКС „</w:t>
            </w:r>
            <w:r w:rsidR="006F4C22" w:rsidRPr="00625542">
              <w:rPr>
                <w:rFonts w:ascii="Arial" w:hAnsi="Arial" w:cs="Arial"/>
                <w:color w:val="333333"/>
              </w:rPr>
              <w:t>бакалавър“</w:t>
            </w:r>
          </w:p>
        </w:tc>
      </w:tr>
      <w:tr w:rsidR="00451EE0">
        <w:trPr>
          <w:trHeight w:val="180"/>
          <w:jc w:val="center"/>
        </w:trPr>
        <w:tc>
          <w:tcPr>
            <w:tcW w:w="14868" w:type="dxa"/>
            <w:gridSpan w:val="2"/>
            <w:shd w:val="clear" w:color="auto" w:fill="auto"/>
          </w:tcPr>
          <w:p w:rsidR="00451EE0" w:rsidRPr="00625542" w:rsidRDefault="00451EE0" w:rsidP="00AA1D5A">
            <w:pPr>
              <w:rPr>
                <w:rFonts w:ascii="Arial" w:hAnsi="Arial" w:cs="Arial"/>
              </w:rPr>
            </w:pPr>
          </w:p>
        </w:tc>
      </w:tr>
      <w:tr w:rsidR="00AA1D5A">
        <w:trPr>
          <w:trHeight w:val="868"/>
          <w:jc w:val="center"/>
        </w:trPr>
        <w:tc>
          <w:tcPr>
            <w:tcW w:w="14868" w:type="dxa"/>
            <w:gridSpan w:val="2"/>
            <w:shd w:val="clear" w:color="auto" w:fill="auto"/>
          </w:tcPr>
          <w:p w:rsidR="009F072D" w:rsidRPr="00625542" w:rsidRDefault="009F072D" w:rsidP="00AA1D5A">
            <w:pPr>
              <w:rPr>
                <w:rFonts w:ascii="Arial" w:hAnsi="Arial" w:cs="Arial"/>
                <w:color w:val="333333"/>
              </w:rPr>
            </w:pPr>
            <w:r w:rsidRPr="00625542">
              <w:rPr>
                <w:rFonts w:ascii="Arial" w:hAnsi="Arial" w:cs="Arial"/>
                <w:color w:val="333333"/>
              </w:rPr>
              <w:t>Специалност:</w:t>
            </w:r>
          </w:p>
          <w:p w:rsidR="00AA1D5A" w:rsidRPr="00625542" w:rsidRDefault="00AA1D5A" w:rsidP="00AA1D5A">
            <w:pPr>
              <w:rPr>
                <w:rFonts w:ascii="Arial" w:hAnsi="Arial" w:cs="Arial"/>
                <w:color w:val="333333"/>
              </w:rPr>
            </w:pPr>
          </w:p>
          <w:tbl>
            <w:tblPr>
              <w:tblpPr w:leftFromText="141" w:rightFromText="141" w:vertAnchor="text" w:horzAnchor="page" w:tblpX="9189" w:tblpY="-7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5"/>
              <w:gridCol w:w="455"/>
              <w:gridCol w:w="540"/>
              <w:gridCol w:w="540"/>
              <w:gridCol w:w="450"/>
              <w:gridCol w:w="450"/>
              <w:gridCol w:w="540"/>
              <w:gridCol w:w="540"/>
              <w:gridCol w:w="540"/>
            </w:tblGrid>
            <w:tr w:rsidR="001D49FB" w:rsidRPr="00625542" w:rsidTr="00A865F8">
              <w:tc>
                <w:tcPr>
                  <w:tcW w:w="535" w:type="dxa"/>
                  <w:vAlign w:val="center"/>
                </w:tcPr>
                <w:p w:rsidR="001D49FB" w:rsidRDefault="001D49FB" w:rsidP="001D49FB">
                  <w:pPr>
                    <w:jc w:val="center"/>
                    <w:rPr>
                      <w:rFonts w:ascii="Arial" w:hAnsi="Arial" w:cs="Arial"/>
                      <w:sz w:val="26"/>
                      <w:szCs w:val="26"/>
                      <w:lang w:val="en-US" w:eastAsia="en-US"/>
                    </w:rPr>
                  </w:pPr>
                  <w:r>
                    <w:rPr>
                      <w:rFonts w:ascii="Arial" w:hAnsi="Arial" w:cs="Arial"/>
                      <w:sz w:val="26"/>
                      <w:szCs w:val="26"/>
                    </w:rPr>
                    <w:t>К</w:t>
                  </w:r>
                </w:p>
              </w:tc>
              <w:tc>
                <w:tcPr>
                  <w:tcW w:w="455" w:type="dxa"/>
                  <w:vAlign w:val="center"/>
                </w:tcPr>
                <w:p w:rsidR="001D49FB" w:rsidRDefault="001D49FB" w:rsidP="001D49FB">
                  <w:pPr>
                    <w:jc w:val="center"/>
                    <w:rPr>
                      <w:rFonts w:ascii="Arial" w:hAnsi="Arial" w:cs="Arial"/>
                      <w:sz w:val="26"/>
                      <w:szCs w:val="26"/>
                    </w:rPr>
                  </w:pPr>
                  <w:r>
                    <w:rPr>
                      <w:rFonts w:ascii="Arial" w:hAnsi="Arial" w:cs="Arial"/>
                      <w:sz w:val="26"/>
                      <w:szCs w:val="26"/>
                    </w:rPr>
                    <w:t>Н</w:t>
                  </w:r>
                </w:p>
              </w:tc>
              <w:tc>
                <w:tcPr>
                  <w:tcW w:w="540" w:type="dxa"/>
                  <w:vAlign w:val="center"/>
                </w:tcPr>
                <w:p w:rsidR="001D49FB" w:rsidRDefault="001D49FB" w:rsidP="001D49FB">
                  <w:pPr>
                    <w:jc w:val="center"/>
                    <w:rPr>
                      <w:rFonts w:ascii="Arial" w:hAnsi="Arial" w:cs="Arial"/>
                      <w:sz w:val="26"/>
                      <w:szCs w:val="26"/>
                    </w:rPr>
                  </w:pPr>
                  <w:r>
                    <w:rPr>
                      <w:rFonts w:ascii="Arial" w:hAnsi="Arial" w:cs="Arial"/>
                      <w:sz w:val="26"/>
                      <w:szCs w:val="26"/>
                    </w:rPr>
                    <w:t>А</w:t>
                  </w:r>
                </w:p>
              </w:tc>
              <w:tc>
                <w:tcPr>
                  <w:tcW w:w="540" w:type="dxa"/>
                  <w:vAlign w:val="center"/>
                </w:tcPr>
                <w:p w:rsidR="001D49FB" w:rsidRDefault="001D49FB" w:rsidP="001D49FB">
                  <w:pPr>
                    <w:jc w:val="center"/>
                    <w:rPr>
                      <w:rFonts w:ascii="Arial" w:hAnsi="Arial" w:cs="Arial"/>
                      <w:sz w:val="26"/>
                      <w:szCs w:val="26"/>
                      <w:lang w:val="en-US" w:eastAsia="en-US"/>
                    </w:rPr>
                  </w:pPr>
                  <w:r>
                    <w:rPr>
                      <w:rFonts w:ascii="Arial" w:hAnsi="Arial" w:cs="Arial"/>
                      <w:sz w:val="26"/>
                      <w:szCs w:val="26"/>
                    </w:rPr>
                    <w:t>0</w:t>
                  </w:r>
                </w:p>
              </w:tc>
              <w:tc>
                <w:tcPr>
                  <w:tcW w:w="450" w:type="dxa"/>
                  <w:vAlign w:val="center"/>
                </w:tcPr>
                <w:p w:rsidR="001D49FB" w:rsidRDefault="001D49FB" w:rsidP="001D49FB">
                  <w:pPr>
                    <w:jc w:val="center"/>
                    <w:rPr>
                      <w:rFonts w:ascii="Arial" w:hAnsi="Arial" w:cs="Arial"/>
                      <w:sz w:val="26"/>
                      <w:szCs w:val="26"/>
                    </w:rPr>
                  </w:pPr>
                  <w:r>
                    <w:rPr>
                      <w:rFonts w:ascii="Arial" w:hAnsi="Arial" w:cs="Arial"/>
                      <w:sz w:val="26"/>
                      <w:szCs w:val="26"/>
                    </w:rPr>
                    <w:t>1</w:t>
                  </w:r>
                </w:p>
              </w:tc>
              <w:tc>
                <w:tcPr>
                  <w:tcW w:w="450" w:type="dxa"/>
                  <w:vAlign w:val="center"/>
                </w:tcPr>
                <w:p w:rsidR="001D49FB" w:rsidRDefault="001D49FB" w:rsidP="001D49FB">
                  <w:pPr>
                    <w:jc w:val="center"/>
                    <w:rPr>
                      <w:rFonts w:ascii="Arial" w:hAnsi="Arial" w:cs="Arial"/>
                      <w:sz w:val="26"/>
                      <w:szCs w:val="26"/>
                    </w:rPr>
                  </w:pPr>
                  <w:r>
                    <w:rPr>
                      <w:rFonts w:ascii="Arial" w:hAnsi="Arial" w:cs="Arial"/>
                      <w:sz w:val="26"/>
                      <w:szCs w:val="26"/>
                    </w:rPr>
                    <w:t>2</w:t>
                  </w:r>
                </w:p>
              </w:tc>
              <w:tc>
                <w:tcPr>
                  <w:tcW w:w="540" w:type="dxa"/>
                  <w:vAlign w:val="center"/>
                </w:tcPr>
                <w:p w:rsidR="001D49FB" w:rsidRDefault="001D49FB" w:rsidP="001D49FB">
                  <w:pPr>
                    <w:jc w:val="center"/>
                    <w:rPr>
                      <w:rFonts w:ascii="Arial" w:hAnsi="Arial" w:cs="Arial"/>
                      <w:sz w:val="26"/>
                      <w:szCs w:val="26"/>
                    </w:rPr>
                  </w:pPr>
                  <w:r>
                    <w:rPr>
                      <w:rFonts w:ascii="Arial" w:hAnsi="Arial" w:cs="Arial"/>
                      <w:sz w:val="26"/>
                      <w:szCs w:val="26"/>
                    </w:rPr>
                    <w:t>0</w:t>
                  </w:r>
                </w:p>
              </w:tc>
              <w:tc>
                <w:tcPr>
                  <w:tcW w:w="540" w:type="dxa"/>
                  <w:vAlign w:val="center"/>
                </w:tcPr>
                <w:p w:rsidR="001D49FB" w:rsidRDefault="001D49FB" w:rsidP="001D49FB">
                  <w:pPr>
                    <w:jc w:val="center"/>
                    <w:rPr>
                      <w:rFonts w:ascii="Arial" w:hAnsi="Arial" w:cs="Arial"/>
                      <w:sz w:val="26"/>
                      <w:szCs w:val="26"/>
                    </w:rPr>
                  </w:pPr>
                  <w:r>
                    <w:rPr>
                      <w:rFonts w:ascii="Arial" w:hAnsi="Arial" w:cs="Arial"/>
                      <w:sz w:val="26"/>
                      <w:szCs w:val="26"/>
                    </w:rPr>
                    <w:t>2</w:t>
                  </w:r>
                </w:p>
              </w:tc>
              <w:tc>
                <w:tcPr>
                  <w:tcW w:w="540" w:type="dxa"/>
                  <w:vAlign w:val="center"/>
                </w:tcPr>
                <w:p w:rsidR="001D49FB" w:rsidRDefault="001D49FB" w:rsidP="001D49FB">
                  <w:pPr>
                    <w:jc w:val="center"/>
                    <w:rPr>
                      <w:rFonts w:ascii="Arial" w:hAnsi="Arial" w:cs="Arial"/>
                      <w:sz w:val="26"/>
                      <w:szCs w:val="26"/>
                    </w:rPr>
                  </w:pPr>
                  <w:r>
                    <w:rPr>
                      <w:rFonts w:ascii="Arial" w:hAnsi="Arial" w:cs="Arial"/>
                      <w:sz w:val="26"/>
                      <w:szCs w:val="26"/>
                    </w:rPr>
                    <w:t>4</w:t>
                  </w:r>
                </w:p>
              </w:tc>
            </w:tr>
          </w:tbl>
          <w:p w:rsidR="00251567" w:rsidRPr="00625542" w:rsidRDefault="001D49FB" w:rsidP="00AA1D5A">
            <w:pPr>
              <w:rPr>
                <w:rFonts w:ascii="Arial" w:hAnsi="Arial" w:cs="Arial"/>
                <w:color w:val="333333"/>
              </w:rPr>
            </w:pPr>
            <w:r w:rsidRPr="001D49FB">
              <w:rPr>
                <w:rFonts w:ascii="Arial" w:hAnsi="Arial" w:cs="Arial"/>
                <w:color w:val="333333"/>
              </w:rPr>
              <w:t>Южна, Източна и Югоизточна Азия</w:t>
            </w:r>
          </w:p>
        </w:tc>
      </w:tr>
      <w:tr w:rsidR="008130E2">
        <w:trPr>
          <w:trHeight w:val="338"/>
          <w:jc w:val="center"/>
        </w:trPr>
        <w:tc>
          <w:tcPr>
            <w:tcW w:w="14868" w:type="dxa"/>
            <w:gridSpan w:val="2"/>
            <w:shd w:val="clear" w:color="auto" w:fill="auto"/>
          </w:tcPr>
          <w:p w:rsidR="008130E2" w:rsidRPr="00625542" w:rsidRDefault="008130E2" w:rsidP="00AA1D5A">
            <w:pPr>
              <w:rPr>
                <w:rFonts w:ascii="Arial" w:hAnsi="Arial" w:cs="Arial"/>
              </w:rPr>
            </w:pPr>
          </w:p>
        </w:tc>
      </w:tr>
      <w:tr w:rsidR="00AA1D5A">
        <w:trPr>
          <w:trHeight w:val="598"/>
          <w:jc w:val="center"/>
        </w:trPr>
        <w:tc>
          <w:tcPr>
            <w:tcW w:w="14868" w:type="dxa"/>
            <w:gridSpan w:val="2"/>
            <w:shd w:val="clear" w:color="auto" w:fill="auto"/>
          </w:tcPr>
          <w:p w:rsidR="008F1E0F" w:rsidRPr="00625542" w:rsidRDefault="00251567" w:rsidP="00AA1D5A">
            <w:pPr>
              <w:rPr>
                <w:rFonts w:ascii="Arial" w:hAnsi="Arial" w:cs="Arial"/>
                <w:color w:val="333333"/>
              </w:rPr>
            </w:pPr>
            <w:r w:rsidRPr="00625542">
              <w:rPr>
                <w:rFonts w:ascii="Arial" w:hAnsi="Arial" w:cs="Arial"/>
                <w:color w:val="333333"/>
              </w:rPr>
              <w:t xml:space="preserve">Форма на </w:t>
            </w:r>
            <w:r w:rsidR="009F072D" w:rsidRPr="00625542">
              <w:rPr>
                <w:rFonts w:ascii="Arial" w:hAnsi="Arial" w:cs="Arial"/>
                <w:color w:val="333333"/>
              </w:rPr>
              <w:t>обучение:</w:t>
            </w:r>
            <w:r w:rsidR="006F4C22" w:rsidRPr="00625542">
              <w:rPr>
                <w:rFonts w:ascii="Arial" w:hAnsi="Arial" w:cs="Arial"/>
                <w:color w:val="333333"/>
              </w:rPr>
              <w:t xml:space="preserve"> редовна форма на обучение</w:t>
            </w:r>
          </w:p>
          <w:p w:rsidR="00AA1D5A" w:rsidRPr="00625542" w:rsidRDefault="00CC2267" w:rsidP="00AA1D5A">
            <w:pPr>
              <w:rPr>
                <w:rFonts w:ascii="Arial" w:hAnsi="Arial" w:cs="Arial"/>
                <w:color w:val="333333"/>
              </w:rPr>
            </w:pPr>
            <w:r w:rsidRPr="00625542">
              <w:rPr>
                <w:rFonts w:ascii="Arial" w:hAnsi="Arial" w:cs="Arial"/>
                <w:color w:val="333333"/>
              </w:rPr>
              <w:t xml:space="preserve">Продължителност на обучението (брой </w:t>
            </w:r>
            <w:r w:rsidR="00251567" w:rsidRPr="00625542">
              <w:rPr>
                <w:rFonts w:ascii="Arial" w:hAnsi="Arial" w:cs="Arial"/>
                <w:color w:val="333333"/>
              </w:rPr>
              <w:t>семестри</w:t>
            </w:r>
            <w:r w:rsidRPr="00625542">
              <w:rPr>
                <w:rFonts w:ascii="Arial" w:hAnsi="Arial" w:cs="Arial"/>
                <w:color w:val="333333"/>
              </w:rPr>
              <w:t>)</w:t>
            </w:r>
            <w:r w:rsidR="00251567" w:rsidRPr="00625542">
              <w:rPr>
                <w:rFonts w:ascii="Arial" w:hAnsi="Arial" w:cs="Arial"/>
                <w:color w:val="333333"/>
              </w:rPr>
              <w:t>:</w:t>
            </w:r>
            <w:r w:rsidR="006F4C22" w:rsidRPr="00625542">
              <w:rPr>
                <w:rFonts w:ascii="Arial" w:hAnsi="Arial" w:cs="Arial"/>
                <w:color w:val="333333"/>
              </w:rPr>
              <w:t xml:space="preserve"> 8 /осем/ семестъра</w:t>
            </w:r>
          </w:p>
        </w:tc>
      </w:tr>
      <w:tr w:rsidR="00A17FF5">
        <w:trPr>
          <w:trHeight w:val="340"/>
          <w:jc w:val="center"/>
        </w:trPr>
        <w:tc>
          <w:tcPr>
            <w:tcW w:w="14868" w:type="dxa"/>
            <w:gridSpan w:val="2"/>
            <w:shd w:val="clear" w:color="auto" w:fill="auto"/>
          </w:tcPr>
          <w:p w:rsidR="00A17FF5" w:rsidRPr="00625542" w:rsidRDefault="00A17FF5" w:rsidP="00AA1D5A">
            <w:pPr>
              <w:rPr>
                <w:rFonts w:ascii="Arial" w:hAnsi="Arial" w:cs="Arial"/>
              </w:rPr>
            </w:pPr>
          </w:p>
        </w:tc>
      </w:tr>
      <w:tr w:rsidR="008130E2" w:rsidTr="00625542">
        <w:trPr>
          <w:trHeight w:val="63"/>
          <w:jc w:val="center"/>
        </w:trPr>
        <w:tc>
          <w:tcPr>
            <w:tcW w:w="14868" w:type="dxa"/>
            <w:gridSpan w:val="2"/>
            <w:shd w:val="clear" w:color="auto" w:fill="auto"/>
          </w:tcPr>
          <w:p w:rsidR="001D49FB" w:rsidRDefault="001D49FB" w:rsidP="001D49FB">
            <w:pPr>
              <w:rPr>
                <w:rFonts w:ascii="Arial" w:hAnsi="Arial" w:cs="Arial"/>
                <w:lang w:val="en-US" w:eastAsia="en-US"/>
              </w:rPr>
            </w:pPr>
            <w:r>
              <w:rPr>
                <w:rFonts w:ascii="Arial" w:hAnsi="Arial" w:cs="Arial"/>
              </w:rPr>
              <w:t>Изтоковед - Южна, Източна и Югоизточна Азия</w:t>
            </w:r>
          </w:p>
          <w:p w:rsidR="006F4C22" w:rsidRPr="00625542" w:rsidRDefault="006F4C22" w:rsidP="00405ACA">
            <w:pPr>
              <w:rPr>
                <w:rFonts w:ascii="Arial" w:hAnsi="Arial" w:cs="Arial"/>
                <w:color w:val="333333"/>
              </w:rPr>
            </w:pPr>
          </w:p>
        </w:tc>
      </w:tr>
    </w:tbl>
    <w:p w:rsidR="00181649" w:rsidRDefault="007C0376" w:rsidP="00181649">
      <w:pPr>
        <w:rPr>
          <w:rFonts w:ascii="Arial" w:hAnsi="Arial" w:cs="Arial"/>
          <w:b/>
        </w:rPr>
      </w:pPr>
      <w:r w:rsidRPr="00FD6586">
        <w:rPr>
          <w:lang w:val="ru-RU"/>
        </w:rPr>
        <w:br w:type="page"/>
      </w:r>
      <w:r w:rsidRPr="00583924">
        <w:rPr>
          <w:rFonts w:ascii="Arial" w:hAnsi="Arial" w:cs="Arial"/>
          <w:b/>
        </w:rPr>
        <w:lastRenderedPageBreak/>
        <w:t xml:space="preserve"> </w:t>
      </w:r>
      <w:r w:rsidR="00181649" w:rsidRPr="00583924">
        <w:rPr>
          <w:rFonts w:ascii="Arial" w:hAnsi="Arial" w:cs="Arial"/>
          <w:b/>
        </w:rPr>
        <w:t>Квалификационна характеристика</w:t>
      </w:r>
    </w:p>
    <w:p w:rsidR="00181649" w:rsidRDefault="00181649" w:rsidP="00181649">
      <w:pPr>
        <w:rPr>
          <w:rFonts w:ascii="Arial" w:hAnsi="Arial" w:cs="Arial"/>
          <w:b/>
          <w:i/>
          <w:sz w:val="22"/>
          <w:szCs w:val="22"/>
        </w:rPr>
      </w:pPr>
    </w:p>
    <w:p w:rsidR="001D49FB" w:rsidRDefault="00181649" w:rsidP="001D49FB">
      <w:pPr>
        <w:rPr>
          <w:rFonts w:ascii="Arial" w:hAnsi="Arial" w:cs="Arial"/>
          <w:b/>
          <w:bCs/>
          <w:i/>
          <w:iCs/>
          <w:sz w:val="22"/>
          <w:szCs w:val="22"/>
          <w:lang w:val="en-US" w:eastAsia="en-US"/>
        </w:rPr>
      </w:pPr>
      <w:r w:rsidRPr="00E7540D">
        <w:rPr>
          <w:rFonts w:ascii="Arial" w:hAnsi="Arial" w:cs="Arial"/>
          <w:b/>
          <w:iCs/>
          <w:sz w:val="22"/>
          <w:szCs w:val="22"/>
        </w:rPr>
        <w:t>Специалност:</w:t>
      </w:r>
      <w:r w:rsidR="001D49FB" w:rsidRPr="001D49FB">
        <w:rPr>
          <w:rFonts w:ascii="Arial" w:hAnsi="Arial" w:cs="Arial"/>
          <w:b/>
          <w:bCs/>
          <w:i/>
          <w:iCs/>
          <w:sz w:val="22"/>
          <w:szCs w:val="22"/>
        </w:rPr>
        <w:t xml:space="preserve"> </w:t>
      </w:r>
      <w:r w:rsidR="001D49FB">
        <w:rPr>
          <w:rFonts w:ascii="Arial" w:hAnsi="Arial" w:cs="Arial"/>
          <w:b/>
          <w:bCs/>
          <w:i/>
          <w:iCs/>
          <w:sz w:val="22"/>
          <w:szCs w:val="22"/>
        </w:rPr>
        <w:t>Южна, Източна и Югоизточна Азия</w:t>
      </w:r>
    </w:p>
    <w:p w:rsidR="00181649" w:rsidRPr="00EA074A" w:rsidRDefault="00181649" w:rsidP="00181649">
      <w:pPr>
        <w:rPr>
          <w:rFonts w:ascii="Arial" w:hAnsi="Arial" w:cs="Arial"/>
          <w:b/>
          <w:iCs/>
          <w:sz w:val="22"/>
          <w:szCs w:val="22"/>
        </w:rPr>
      </w:pPr>
    </w:p>
    <w:p w:rsidR="00181649" w:rsidRDefault="00181649" w:rsidP="00181649">
      <w:pPr>
        <w:rPr>
          <w:rFonts w:ascii="Arial" w:hAnsi="Arial" w:cs="Arial"/>
          <w:sz w:val="22"/>
          <w:szCs w:val="22"/>
        </w:rPr>
      </w:pPr>
    </w:p>
    <w:p w:rsidR="00181649" w:rsidRDefault="00181649" w:rsidP="00181649">
      <w:pPr>
        <w:numPr>
          <w:ilvl w:val="0"/>
          <w:numId w:val="1"/>
        </w:numPr>
        <w:rPr>
          <w:rFonts w:ascii="Arial" w:hAnsi="Arial" w:cs="Arial"/>
          <w:b/>
          <w:sz w:val="22"/>
          <w:szCs w:val="22"/>
        </w:rPr>
      </w:pPr>
      <w:bookmarkStart w:id="1" w:name="_Hlk121322978"/>
      <w:r w:rsidRPr="00715BD3">
        <w:rPr>
          <w:rFonts w:ascii="Arial" w:hAnsi="Arial" w:cs="Arial"/>
          <w:b/>
          <w:sz w:val="22"/>
          <w:szCs w:val="22"/>
        </w:rPr>
        <w:t>Насоченост</w:t>
      </w:r>
      <w:r>
        <w:rPr>
          <w:rFonts w:ascii="Arial" w:hAnsi="Arial" w:cs="Arial"/>
          <w:b/>
          <w:sz w:val="22"/>
          <w:szCs w:val="22"/>
        </w:rPr>
        <w:t>, образователни цели</w:t>
      </w:r>
    </w:p>
    <w:p w:rsidR="00181649" w:rsidRPr="00715BD3" w:rsidRDefault="00181649" w:rsidP="005F5590">
      <w:pPr>
        <w:rPr>
          <w:rFonts w:ascii="Arial" w:hAnsi="Arial" w:cs="Arial"/>
          <w:b/>
          <w:sz w:val="22"/>
          <w:szCs w:val="22"/>
        </w:rPr>
      </w:pPr>
    </w:p>
    <w:p w:rsidR="008D2A4E" w:rsidRPr="008D2A4E" w:rsidRDefault="008D2A4E" w:rsidP="008D2A4E">
      <w:pPr>
        <w:jc w:val="both"/>
        <w:rPr>
          <w:rFonts w:ascii="Arial" w:hAnsi="Arial" w:cs="Arial"/>
          <w:sz w:val="22"/>
          <w:szCs w:val="22"/>
        </w:rPr>
      </w:pPr>
      <w:r w:rsidRPr="008D2A4E">
        <w:rPr>
          <w:rFonts w:ascii="Arial" w:hAnsi="Arial" w:cs="Arial"/>
          <w:sz w:val="22"/>
          <w:szCs w:val="22"/>
        </w:rPr>
        <w:t xml:space="preserve">Програмата има за цел да запознае с езиците, културите, икономическите и политическите системи в един от най-бързо развиващите се региони в света. В този смисъл тя предлага набор от знания и комплексен научен инструментариум, които студентите използват за разбирането и тълкуването на съвременните процеси и предизвикателствата, пред които обществата на Южна, Източна и Югоизточна Азия са изправени днес. Съответно, тя е предназначена за млади хора, които свързват професионалната си реализация в най-широк смисъл именно с този регион на света. Фокусът е върху модерността, а историческите дисциплини подхранват и обслужват разбирането на съвременните процеси. Програмата дава широк спектър от знания за региона в съответствие с индивидуалния избор на обучаваните – един основен и един допълнителен модул, които конкретизират езиците и културите, към които те се насочват. Същевременно регионално-специфичната информация се надгражда върху общи познания за основни понятия от макро и микроикономиката, историята на политическите системи и международните отношения. </w:t>
      </w:r>
    </w:p>
    <w:p w:rsidR="008D2A4E" w:rsidRPr="008D2A4E" w:rsidRDefault="008D2A4E" w:rsidP="008D2A4E">
      <w:pPr>
        <w:jc w:val="both"/>
        <w:rPr>
          <w:rFonts w:ascii="Arial" w:hAnsi="Arial" w:cs="Arial"/>
          <w:sz w:val="22"/>
          <w:szCs w:val="22"/>
        </w:rPr>
      </w:pPr>
      <w:r w:rsidRPr="008D2A4E">
        <w:rPr>
          <w:rFonts w:ascii="Arial" w:hAnsi="Arial" w:cs="Arial"/>
          <w:sz w:val="22"/>
          <w:szCs w:val="22"/>
        </w:rPr>
        <w:t xml:space="preserve">Основният модул (Китай, Япония, Корея) започва от втория семестър и тежестта му е равномерно разпределена между интензивно обучение по съответния език и дисциплини, запознаващи с историята, икономиката, културата и обществото на съответната страна/регион. От пети семестър нататък към този първи модул се добавя и различен от него втори (Индия, Виетнам и Индонезия). От този момент насетне до последния осми семестър натовареността е равномерно разпределена между двата модула. </w:t>
      </w:r>
    </w:p>
    <w:p w:rsidR="00181649" w:rsidRDefault="008D2A4E" w:rsidP="008D2A4E">
      <w:pPr>
        <w:jc w:val="both"/>
        <w:rPr>
          <w:rFonts w:ascii="Arial" w:hAnsi="Arial" w:cs="Arial"/>
          <w:sz w:val="22"/>
          <w:szCs w:val="22"/>
        </w:rPr>
      </w:pPr>
      <w:r w:rsidRPr="008D2A4E">
        <w:rPr>
          <w:rFonts w:ascii="Arial" w:hAnsi="Arial" w:cs="Arial"/>
          <w:sz w:val="22"/>
          <w:szCs w:val="22"/>
        </w:rPr>
        <w:t>Студентите се разпределят в модулите по равно на квотен принцип въз основа на изразено предпочитание и успех.</w:t>
      </w:r>
    </w:p>
    <w:p w:rsidR="008D2A4E" w:rsidRPr="00243FFC" w:rsidRDefault="008D2A4E" w:rsidP="008D2A4E">
      <w:pPr>
        <w:jc w:val="both"/>
        <w:rPr>
          <w:rFonts w:ascii="Arial" w:hAnsi="Arial" w:cs="Arial"/>
          <w:b/>
          <w:sz w:val="22"/>
          <w:szCs w:val="22"/>
        </w:rPr>
      </w:pPr>
    </w:p>
    <w:p w:rsidR="00801EC2" w:rsidRDefault="008D2A4E" w:rsidP="008D2A4E">
      <w:pPr>
        <w:pStyle w:val="ListParagraph"/>
        <w:numPr>
          <w:ilvl w:val="0"/>
          <w:numId w:val="1"/>
        </w:numPr>
        <w:rPr>
          <w:rFonts w:ascii="Arial" w:hAnsi="Arial" w:cs="Arial"/>
          <w:b/>
          <w:sz w:val="22"/>
          <w:szCs w:val="22"/>
        </w:rPr>
      </w:pPr>
      <w:r w:rsidRPr="008D2A4E">
        <w:rPr>
          <w:rFonts w:ascii="Arial" w:hAnsi="Arial" w:cs="Arial"/>
          <w:b/>
          <w:sz w:val="22"/>
          <w:szCs w:val="22"/>
        </w:rPr>
        <w:t>Обучение (знания и умения, необходими за успешна професионална дейност; общотеоретична и специална подготовка и др.)</w:t>
      </w:r>
    </w:p>
    <w:p w:rsidR="008D2A4E" w:rsidRPr="008D2A4E" w:rsidRDefault="008D2A4E" w:rsidP="008D2A4E">
      <w:pPr>
        <w:pStyle w:val="ListParagraph"/>
        <w:rPr>
          <w:rFonts w:ascii="Arial" w:hAnsi="Arial" w:cs="Arial"/>
          <w:b/>
          <w:sz w:val="22"/>
          <w:szCs w:val="22"/>
        </w:rPr>
      </w:pPr>
    </w:p>
    <w:p w:rsidR="00181649" w:rsidRDefault="008D2A4E" w:rsidP="008D2A4E">
      <w:pPr>
        <w:jc w:val="both"/>
        <w:rPr>
          <w:rFonts w:ascii="Arial" w:hAnsi="Arial" w:cs="Arial"/>
          <w:b/>
          <w:sz w:val="22"/>
          <w:szCs w:val="22"/>
        </w:rPr>
      </w:pPr>
      <w:r w:rsidRPr="008D2A4E">
        <w:rPr>
          <w:rFonts w:ascii="Arial" w:hAnsi="Arial" w:cs="Arial"/>
          <w:sz w:val="22"/>
          <w:szCs w:val="22"/>
        </w:rPr>
        <w:t>Курсът на обучение започва с общи дисциплини, които запознават студентите с икономическата, политическата и културната история на целия регион, като същевременно усвояват базови познания за основни понятия и постулати в икономическия и политологическия анализ и историята на международните отношения. В началото на втория семестър те избират своя първи модул ( Япония, Китай, Корея), започват интензивно да усвояват съотвения език и да трупат специфична информация за страната и нейната култура, икономика, нова история и обществени процеси. През петия семестър се наслагва и втори избираем модул, различен от първия (Индия, Виетнам, Индонезия), като от този момент нататък натовареността е равномерно разпределена между двата модула – както по отношение на езиковото обучение, така и на теоретичните дисциплини. През осмия семестър е включен задължителен стаж в медиите, в държавни институции и неправителствени организации и частни компании, чиято дейност е свързана с този регион на света. Обучението завършва с подготовката и защитата на дипломна работа по един от двата избрани модула.</w:t>
      </w:r>
    </w:p>
    <w:p w:rsidR="00181649" w:rsidRPr="00D40FCC" w:rsidRDefault="00181649" w:rsidP="00181649">
      <w:pPr>
        <w:rPr>
          <w:rFonts w:ascii="Arial" w:hAnsi="Arial" w:cs="Arial"/>
          <w:b/>
          <w:sz w:val="22"/>
          <w:szCs w:val="22"/>
          <w:lang w:val="pt-PT"/>
        </w:rPr>
      </w:pPr>
    </w:p>
    <w:p w:rsidR="00181649" w:rsidRPr="00970C97" w:rsidRDefault="008D2A4E" w:rsidP="00181649">
      <w:pPr>
        <w:numPr>
          <w:ilvl w:val="0"/>
          <w:numId w:val="1"/>
        </w:numPr>
        <w:rPr>
          <w:rFonts w:ascii="Arial" w:hAnsi="Arial" w:cs="Arial"/>
          <w:b/>
          <w:sz w:val="22"/>
          <w:szCs w:val="22"/>
        </w:rPr>
      </w:pPr>
      <w:r w:rsidRPr="008D2A4E">
        <w:rPr>
          <w:rFonts w:ascii="Arial" w:hAnsi="Arial" w:cs="Arial"/>
          <w:b/>
          <w:sz w:val="22"/>
          <w:szCs w:val="22"/>
        </w:rPr>
        <w:t xml:space="preserve"> Професионални компетенции</w:t>
      </w:r>
      <w:r w:rsidRPr="008D2A4E">
        <w:rPr>
          <w:rFonts w:ascii="Arial" w:eastAsia="Calibri" w:hAnsi="Arial" w:cs="Arial"/>
          <w:b/>
          <w:sz w:val="22"/>
          <w:szCs w:val="22"/>
        </w:rPr>
        <w:t xml:space="preserve"> </w:t>
      </w:r>
    </w:p>
    <w:p w:rsidR="00181649" w:rsidRPr="00970C97" w:rsidRDefault="00181649" w:rsidP="00181649">
      <w:pPr>
        <w:rPr>
          <w:rFonts w:ascii="Arial" w:hAnsi="Arial" w:cs="Arial"/>
          <w:b/>
          <w:sz w:val="22"/>
          <w:szCs w:val="22"/>
        </w:rPr>
      </w:pPr>
    </w:p>
    <w:bookmarkEnd w:id="1"/>
    <w:p w:rsidR="00625542" w:rsidRDefault="008D2A4E" w:rsidP="008D2A4E">
      <w:pPr>
        <w:jc w:val="both"/>
        <w:rPr>
          <w:rFonts w:ascii="Arial" w:hAnsi="Arial" w:cs="Arial"/>
          <w:sz w:val="22"/>
          <w:szCs w:val="22"/>
        </w:rPr>
      </w:pPr>
      <w:r w:rsidRPr="008D2A4E">
        <w:rPr>
          <w:rFonts w:ascii="Arial" w:hAnsi="Arial" w:cs="Arial"/>
          <w:sz w:val="22"/>
          <w:szCs w:val="22"/>
        </w:rPr>
        <w:t xml:space="preserve">В края на обучението си студентите са в състояние да се ориентират в специфичната за региона обществено-политическа, геополитическа и икономическа проблематика. Те познават културните специфики, историческото наследство и културните традиции на страните, които са избрали да изучават. Тъй като културната компетентност е немислима без определена степен на владеене на съответния език, те имат базови комуникативни компетенции и могат да ползват литература на два от важните за региона езици. Същевременно те са способни да разбират, </w:t>
      </w:r>
      <w:r w:rsidRPr="008D2A4E">
        <w:rPr>
          <w:rFonts w:ascii="Arial" w:hAnsi="Arial" w:cs="Arial"/>
          <w:sz w:val="22"/>
          <w:szCs w:val="22"/>
        </w:rPr>
        <w:lastRenderedPageBreak/>
        <w:t>анализират и тълкуват документи, издадени от международните финансови институции (Световна Банка, МВФ), от правителствата, от междуправителствени и неправителствени организации.</w:t>
      </w:r>
    </w:p>
    <w:p w:rsidR="008D2A4E" w:rsidRDefault="008D2A4E" w:rsidP="008D2A4E">
      <w:pPr>
        <w:jc w:val="both"/>
        <w:rPr>
          <w:rFonts w:ascii="Arial" w:hAnsi="Arial" w:cs="Arial"/>
          <w:sz w:val="22"/>
          <w:szCs w:val="22"/>
          <w:lang w:val="en-US" w:eastAsia="en-US"/>
        </w:rPr>
      </w:pPr>
    </w:p>
    <w:p w:rsidR="008D2A4E" w:rsidRDefault="008D2A4E" w:rsidP="008D2A4E">
      <w:pPr>
        <w:jc w:val="both"/>
        <w:rPr>
          <w:rFonts w:ascii="Arial" w:hAnsi="Arial" w:cs="Arial"/>
          <w:sz w:val="22"/>
          <w:szCs w:val="22"/>
          <w:lang w:val="en-US" w:eastAsia="en-US"/>
        </w:rPr>
      </w:pPr>
    </w:p>
    <w:p w:rsidR="008D2A4E" w:rsidRPr="008D2A4E" w:rsidRDefault="008D2A4E" w:rsidP="008D2A4E">
      <w:pPr>
        <w:jc w:val="both"/>
        <w:rPr>
          <w:rFonts w:ascii="Arial" w:hAnsi="Arial" w:cs="Arial"/>
          <w:b/>
          <w:bCs/>
          <w:color w:val="000000"/>
          <w:sz w:val="22"/>
          <w:szCs w:val="22"/>
          <w:lang w:val="en-US" w:eastAsia="en-US"/>
        </w:rPr>
      </w:pPr>
      <w:r>
        <w:rPr>
          <w:rFonts w:ascii="Arial" w:hAnsi="Arial" w:cs="Arial"/>
          <w:b/>
          <w:bCs/>
          <w:color w:val="000000"/>
          <w:sz w:val="22"/>
          <w:szCs w:val="22"/>
        </w:rPr>
        <w:t>4. Професионална реализация</w:t>
      </w:r>
    </w:p>
    <w:p w:rsidR="008D2A4E" w:rsidRDefault="008D2A4E" w:rsidP="008D2A4E">
      <w:pPr>
        <w:jc w:val="both"/>
        <w:rPr>
          <w:rFonts w:ascii="Arial" w:hAnsi="Arial" w:cs="Arial"/>
          <w:sz w:val="22"/>
          <w:szCs w:val="22"/>
          <w:lang w:val="en-US" w:eastAsia="en-US"/>
        </w:rPr>
      </w:pPr>
    </w:p>
    <w:p w:rsidR="008D2A4E" w:rsidRPr="00405ACA" w:rsidRDefault="008D2A4E" w:rsidP="008D2A4E">
      <w:pPr>
        <w:jc w:val="both"/>
        <w:rPr>
          <w:rFonts w:ascii="Arial" w:hAnsi="Arial" w:cs="Arial"/>
          <w:sz w:val="22"/>
          <w:szCs w:val="22"/>
          <w:lang w:val="en-US" w:eastAsia="en-US"/>
        </w:rPr>
        <w:sectPr w:rsidR="008D2A4E" w:rsidRPr="00405ACA" w:rsidSect="00325506">
          <w:pgSz w:w="16838" w:h="11906" w:orient="landscape"/>
          <w:pgMar w:top="1008" w:right="1008" w:bottom="1008" w:left="1008" w:header="706" w:footer="706" w:gutter="0"/>
          <w:cols w:space="720"/>
          <w:docGrid w:linePitch="360"/>
        </w:sectPr>
      </w:pPr>
      <w:r w:rsidRPr="008D2A4E">
        <w:rPr>
          <w:rFonts w:ascii="Arial" w:hAnsi="Arial" w:cs="Arial"/>
          <w:sz w:val="22"/>
          <w:szCs w:val="22"/>
          <w:lang w:val="en-US" w:eastAsia="en-US"/>
        </w:rPr>
        <w:t>Гъвкавостта на модулния принцип създава отвореност към широк кръг от възможности по отношение на професионалната реализация на завършилите бакалаври. В съответствие с избраната комбинация техните умения могат да намерят приложение в свързани с тези страни отдели на правителствени и неправителствени организации, на журналистическото поприще и в света на реалната икономика в работата на фирми, работещи и търгуващи с тази част на света, или в Източни компании, търсещи възможности за инвестиции в България и в Европа като цяло. Броят на такива компании през следващите години неминуемо ще нараства, поради интензивното развитие на региона и отварянето му към света. Стажът, предвиден за последния, осми семестър, има за цел да подготви реализацията на студентите на пазара на труда. Същевременно те могат да задълбочат и специализират познанията си в магистърските програми на съответните специалности на Центъра за източни езици и култури (без изискването за подготвителна година, което важи за завършилите външни бакалавърски програми), или да продължат образованието си в сферите на международните отношения, икономиката или политологията.</w:t>
      </w:r>
    </w:p>
    <w:p w:rsidR="007C0376" w:rsidRPr="005A2215" w:rsidRDefault="007C0376" w:rsidP="0014312A">
      <w:pPr>
        <w:rPr>
          <w:lang w:val="ru-RU"/>
        </w:rPr>
      </w:pPr>
    </w:p>
    <w:sectPr w:rsidR="007C0376" w:rsidRPr="005A2215" w:rsidSect="0014312A">
      <w:type w:val="continuous"/>
      <w:pgSz w:w="16838" w:h="11906" w:orient="landscape"/>
      <w:pgMar w:top="1008" w:right="1008" w:bottom="1008" w:left="1008"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795" w:rsidRDefault="00B57795">
      <w:r>
        <w:separator/>
      </w:r>
    </w:p>
  </w:endnote>
  <w:endnote w:type="continuationSeparator" w:id="0">
    <w:p w:rsidR="00B57795" w:rsidRDefault="00B5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795" w:rsidRDefault="00B57795">
      <w:r>
        <w:separator/>
      </w:r>
    </w:p>
  </w:footnote>
  <w:footnote w:type="continuationSeparator" w:id="0">
    <w:p w:rsidR="00B57795" w:rsidRDefault="00B57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327D3"/>
    <w:multiLevelType w:val="hybridMultilevel"/>
    <w:tmpl w:val="EBD85B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50FEB"/>
    <w:multiLevelType w:val="hybridMultilevel"/>
    <w:tmpl w:val="8D9033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75025"/>
    <w:multiLevelType w:val="hybridMultilevel"/>
    <w:tmpl w:val="A11C32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10ABC"/>
    <w:multiLevelType w:val="hybridMultilevel"/>
    <w:tmpl w:val="00086C9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50731A7A"/>
    <w:multiLevelType w:val="hybridMultilevel"/>
    <w:tmpl w:val="01B0269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5DE726BC"/>
    <w:multiLevelType w:val="hybridMultilevel"/>
    <w:tmpl w:val="6280319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61507A95"/>
    <w:multiLevelType w:val="hybridMultilevel"/>
    <w:tmpl w:val="E40EA11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6D4C3B3D"/>
    <w:multiLevelType w:val="hybridMultilevel"/>
    <w:tmpl w:val="BA8633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21"/>
    <w:rsid w:val="000026E2"/>
    <w:rsid w:val="00043C56"/>
    <w:rsid w:val="00062F15"/>
    <w:rsid w:val="000829EB"/>
    <w:rsid w:val="000C5187"/>
    <w:rsid w:val="00121321"/>
    <w:rsid w:val="00124C0F"/>
    <w:rsid w:val="0014312A"/>
    <w:rsid w:val="00181649"/>
    <w:rsid w:val="00186073"/>
    <w:rsid w:val="00187660"/>
    <w:rsid w:val="001A1705"/>
    <w:rsid w:val="001D38D8"/>
    <w:rsid w:val="001D49FB"/>
    <w:rsid w:val="001F7491"/>
    <w:rsid w:val="002022C2"/>
    <w:rsid w:val="00241F0F"/>
    <w:rsid w:val="00242BE0"/>
    <w:rsid w:val="00243FFC"/>
    <w:rsid w:val="00251567"/>
    <w:rsid w:val="00284C04"/>
    <w:rsid w:val="00292718"/>
    <w:rsid w:val="002C0E05"/>
    <w:rsid w:val="002C6899"/>
    <w:rsid w:val="002E0FC2"/>
    <w:rsid w:val="002F33DB"/>
    <w:rsid w:val="00305656"/>
    <w:rsid w:val="00317E9B"/>
    <w:rsid w:val="00325506"/>
    <w:rsid w:val="0036452A"/>
    <w:rsid w:val="0039482D"/>
    <w:rsid w:val="003A4AB8"/>
    <w:rsid w:val="003B2B2B"/>
    <w:rsid w:val="00405ACA"/>
    <w:rsid w:val="004437B6"/>
    <w:rsid w:val="00451EE0"/>
    <w:rsid w:val="00460A64"/>
    <w:rsid w:val="00495CDC"/>
    <w:rsid w:val="004A0958"/>
    <w:rsid w:val="004B4CCE"/>
    <w:rsid w:val="00513C92"/>
    <w:rsid w:val="00523C09"/>
    <w:rsid w:val="005325C5"/>
    <w:rsid w:val="005355AB"/>
    <w:rsid w:val="00545949"/>
    <w:rsid w:val="00583924"/>
    <w:rsid w:val="00594EB3"/>
    <w:rsid w:val="005A2215"/>
    <w:rsid w:val="005B5F22"/>
    <w:rsid w:val="005C6FA2"/>
    <w:rsid w:val="005E2F98"/>
    <w:rsid w:val="005E49B6"/>
    <w:rsid w:val="005F4F14"/>
    <w:rsid w:val="005F5590"/>
    <w:rsid w:val="00621BB0"/>
    <w:rsid w:val="00625542"/>
    <w:rsid w:val="00632D7E"/>
    <w:rsid w:val="006A4688"/>
    <w:rsid w:val="006C46D6"/>
    <w:rsid w:val="006E0179"/>
    <w:rsid w:val="006F256C"/>
    <w:rsid w:val="006F4C22"/>
    <w:rsid w:val="00713BA4"/>
    <w:rsid w:val="00715BD3"/>
    <w:rsid w:val="00761525"/>
    <w:rsid w:val="00777DD5"/>
    <w:rsid w:val="007A7245"/>
    <w:rsid w:val="007C0376"/>
    <w:rsid w:val="007C472E"/>
    <w:rsid w:val="007E357E"/>
    <w:rsid w:val="00801EC2"/>
    <w:rsid w:val="00803339"/>
    <w:rsid w:val="008130E2"/>
    <w:rsid w:val="00824DFF"/>
    <w:rsid w:val="00826778"/>
    <w:rsid w:val="00834509"/>
    <w:rsid w:val="00886972"/>
    <w:rsid w:val="00887CDD"/>
    <w:rsid w:val="008D2A4E"/>
    <w:rsid w:val="008F1E0F"/>
    <w:rsid w:val="009019FF"/>
    <w:rsid w:val="00927F3D"/>
    <w:rsid w:val="0094238C"/>
    <w:rsid w:val="00957AA0"/>
    <w:rsid w:val="00970C97"/>
    <w:rsid w:val="00971C03"/>
    <w:rsid w:val="00990AAF"/>
    <w:rsid w:val="00994E50"/>
    <w:rsid w:val="009C572D"/>
    <w:rsid w:val="009C7395"/>
    <w:rsid w:val="009D16CC"/>
    <w:rsid w:val="009D2C51"/>
    <w:rsid w:val="009F072D"/>
    <w:rsid w:val="009F264C"/>
    <w:rsid w:val="00A17FF5"/>
    <w:rsid w:val="00A25BCC"/>
    <w:rsid w:val="00A31925"/>
    <w:rsid w:val="00A65B37"/>
    <w:rsid w:val="00A824D0"/>
    <w:rsid w:val="00A84C78"/>
    <w:rsid w:val="00A85620"/>
    <w:rsid w:val="00AA1D5A"/>
    <w:rsid w:val="00AB17B1"/>
    <w:rsid w:val="00AB21A9"/>
    <w:rsid w:val="00AB4D76"/>
    <w:rsid w:val="00AF60E9"/>
    <w:rsid w:val="00B16C07"/>
    <w:rsid w:val="00B2216E"/>
    <w:rsid w:val="00B23D89"/>
    <w:rsid w:val="00B419A3"/>
    <w:rsid w:val="00B57795"/>
    <w:rsid w:val="00B9262D"/>
    <w:rsid w:val="00BC74CE"/>
    <w:rsid w:val="00C02D49"/>
    <w:rsid w:val="00C223E0"/>
    <w:rsid w:val="00C43CE2"/>
    <w:rsid w:val="00C57944"/>
    <w:rsid w:val="00C879E3"/>
    <w:rsid w:val="00CC02BB"/>
    <w:rsid w:val="00CC2267"/>
    <w:rsid w:val="00CC6F26"/>
    <w:rsid w:val="00CF42A3"/>
    <w:rsid w:val="00CF5161"/>
    <w:rsid w:val="00D20BCA"/>
    <w:rsid w:val="00D2141B"/>
    <w:rsid w:val="00D21B28"/>
    <w:rsid w:val="00D2293E"/>
    <w:rsid w:val="00D40FCC"/>
    <w:rsid w:val="00D50AC0"/>
    <w:rsid w:val="00D7076C"/>
    <w:rsid w:val="00D72B42"/>
    <w:rsid w:val="00DA26C1"/>
    <w:rsid w:val="00DC0F4A"/>
    <w:rsid w:val="00DC4F22"/>
    <w:rsid w:val="00DC5676"/>
    <w:rsid w:val="00DD0632"/>
    <w:rsid w:val="00E13C25"/>
    <w:rsid w:val="00E37E64"/>
    <w:rsid w:val="00E574E5"/>
    <w:rsid w:val="00E60D82"/>
    <w:rsid w:val="00E7540D"/>
    <w:rsid w:val="00E914BD"/>
    <w:rsid w:val="00E95F5E"/>
    <w:rsid w:val="00EA074A"/>
    <w:rsid w:val="00EF2062"/>
    <w:rsid w:val="00EF5137"/>
    <w:rsid w:val="00F54A63"/>
    <w:rsid w:val="00FB1FEC"/>
    <w:rsid w:val="00FC49AA"/>
    <w:rsid w:val="00FD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1F9016D5-1106-4A87-BC1E-54B615DF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1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5676"/>
    <w:rPr>
      <w:rFonts w:ascii="Tahoma" w:hAnsi="Tahoma" w:cs="Tahoma"/>
      <w:sz w:val="16"/>
      <w:szCs w:val="16"/>
    </w:rPr>
  </w:style>
  <w:style w:type="paragraph" w:styleId="Header">
    <w:name w:val="header"/>
    <w:basedOn w:val="Normal"/>
    <w:rsid w:val="006F256C"/>
    <w:pPr>
      <w:tabs>
        <w:tab w:val="center" w:pos="4536"/>
        <w:tab w:val="right" w:pos="9072"/>
      </w:tabs>
    </w:pPr>
  </w:style>
  <w:style w:type="paragraph" w:styleId="Footer">
    <w:name w:val="footer"/>
    <w:basedOn w:val="Normal"/>
    <w:rsid w:val="006F256C"/>
    <w:pPr>
      <w:tabs>
        <w:tab w:val="center" w:pos="4536"/>
        <w:tab w:val="right" w:pos="9072"/>
      </w:tabs>
    </w:pPr>
  </w:style>
  <w:style w:type="character" w:styleId="PageNumber">
    <w:name w:val="page number"/>
    <w:basedOn w:val="DefaultParagraphFont"/>
    <w:rsid w:val="006F256C"/>
  </w:style>
  <w:style w:type="paragraph" w:styleId="ListParagraph">
    <w:name w:val="List Paragraph"/>
    <w:basedOn w:val="Normal"/>
    <w:uiPriority w:val="34"/>
    <w:qFormat/>
    <w:rsid w:val="008D2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5879">
      <w:bodyDiv w:val="1"/>
      <w:marLeft w:val="0"/>
      <w:marRight w:val="0"/>
      <w:marTop w:val="0"/>
      <w:marBottom w:val="0"/>
      <w:divBdr>
        <w:top w:val="none" w:sz="0" w:space="0" w:color="auto"/>
        <w:left w:val="none" w:sz="0" w:space="0" w:color="auto"/>
        <w:bottom w:val="none" w:sz="0" w:space="0" w:color="auto"/>
        <w:right w:val="none" w:sz="0" w:space="0" w:color="auto"/>
      </w:divBdr>
    </w:div>
    <w:div w:id="229968555">
      <w:bodyDiv w:val="1"/>
      <w:marLeft w:val="0"/>
      <w:marRight w:val="0"/>
      <w:marTop w:val="0"/>
      <w:marBottom w:val="0"/>
      <w:divBdr>
        <w:top w:val="none" w:sz="0" w:space="0" w:color="auto"/>
        <w:left w:val="none" w:sz="0" w:space="0" w:color="auto"/>
        <w:bottom w:val="none" w:sz="0" w:space="0" w:color="auto"/>
        <w:right w:val="none" w:sz="0" w:space="0" w:color="auto"/>
      </w:divBdr>
    </w:div>
    <w:div w:id="246044001">
      <w:bodyDiv w:val="1"/>
      <w:marLeft w:val="0"/>
      <w:marRight w:val="0"/>
      <w:marTop w:val="0"/>
      <w:marBottom w:val="0"/>
      <w:divBdr>
        <w:top w:val="none" w:sz="0" w:space="0" w:color="auto"/>
        <w:left w:val="none" w:sz="0" w:space="0" w:color="auto"/>
        <w:bottom w:val="none" w:sz="0" w:space="0" w:color="auto"/>
        <w:right w:val="none" w:sz="0" w:space="0" w:color="auto"/>
      </w:divBdr>
    </w:div>
    <w:div w:id="612713097">
      <w:bodyDiv w:val="1"/>
      <w:marLeft w:val="0"/>
      <w:marRight w:val="0"/>
      <w:marTop w:val="0"/>
      <w:marBottom w:val="0"/>
      <w:divBdr>
        <w:top w:val="none" w:sz="0" w:space="0" w:color="auto"/>
        <w:left w:val="none" w:sz="0" w:space="0" w:color="auto"/>
        <w:bottom w:val="none" w:sz="0" w:space="0" w:color="auto"/>
        <w:right w:val="none" w:sz="0" w:space="0" w:color="auto"/>
      </w:divBdr>
    </w:div>
    <w:div w:id="754322833">
      <w:bodyDiv w:val="1"/>
      <w:marLeft w:val="0"/>
      <w:marRight w:val="0"/>
      <w:marTop w:val="0"/>
      <w:marBottom w:val="0"/>
      <w:divBdr>
        <w:top w:val="none" w:sz="0" w:space="0" w:color="auto"/>
        <w:left w:val="none" w:sz="0" w:space="0" w:color="auto"/>
        <w:bottom w:val="none" w:sz="0" w:space="0" w:color="auto"/>
        <w:right w:val="none" w:sz="0" w:space="0" w:color="auto"/>
      </w:divBdr>
    </w:div>
    <w:div w:id="1077439527">
      <w:bodyDiv w:val="1"/>
      <w:marLeft w:val="0"/>
      <w:marRight w:val="0"/>
      <w:marTop w:val="0"/>
      <w:marBottom w:val="0"/>
      <w:divBdr>
        <w:top w:val="none" w:sz="0" w:space="0" w:color="auto"/>
        <w:left w:val="none" w:sz="0" w:space="0" w:color="auto"/>
        <w:bottom w:val="none" w:sz="0" w:space="0" w:color="auto"/>
        <w:right w:val="none" w:sz="0" w:space="0" w:color="auto"/>
      </w:divBdr>
    </w:div>
    <w:div w:id="1261333391">
      <w:bodyDiv w:val="1"/>
      <w:marLeft w:val="0"/>
      <w:marRight w:val="0"/>
      <w:marTop w:val="0"/>
      <w:marBottom w:val="0"/>
      <w:divBdr>
        <w:top w:val="none" w:sz="0" w:space="0" w:color="auto"/>
        <w:left w:val="none" w:sz="0" w:space="0" w:color="auto"/>
        <w:bottom w:val="none" w:sz="0" w:space="0" w:color="auto"/>
        <w:right w:val="none" w:sz="0" w:space="0" w:color="auto"/>
      </w:divBdr>
    </w:div>
    <w:div w:id="1287590353">
      <w:bodyDiv w:val="1"/>
      <w:marLeft w:val="0"/>
      <w:marRight w:val="0"/>
      <w:marTop w:val="0"/>
      <w:marBottom w:val="0"/>
      <w:divBdr>
        <w:top w:val="none" w:sz="0" w:space="0" w:color="auto"/>
        <w:left w:val="none" w:sz="0" w:space="0" w:color="auto"/>
        <w:bottom w:val="none" w:sz="0" w:space="0" w:color="auto"/>
        <w:right w:val="none" w:sz="0" w:space="0" w:color="auto"/>
      </w:divBdr>
    </w:div>
    <w:div w:id="1471096189">
      <w:bodyDiv w:val="1"/>
      <w:marLeft w:val="0"/>
      <w:marRight w:val="0"/>
      <w:marTop w:val="0"/>
      <w:marBottom w:val="0"/>
      <w:divBdr>
        <w:top w:val="none" w:sz="0" w:space="0" w:color="auto"/>
        <w:left w:val="none" w:sz="0" w:space="0" w:color="auto"/>
        <w:bottom w:val="none" w:sz="0" w:space="0" w:color="auto"/>
        <w:right w:val="none" w:sz="0" w:space="0" w:color="auto"/>
      </w:divBdr>
    </w:div>
    <w:div w:id="2022051120">
      <w:bodyDiv w:val="1"/>
      <w:marLeft w:val="0"/>
      <w:marRight w:val="0"/>
      <w:marTop w:val="0"/>
      <w:marBottom w:val="0"/>
      <w:divBdr>
        <w:top w:val="none" w:sz="0" w:space="0" w:color="auto"/>
        <w:left w:val="none" w:sz="0" w:space="0" w:color="auto"/>
        <w:bottom w:val="none" w:sz="0" w:space="0" w:color="auto"/>
        <w:right w:val="none" w:sz="0" w:space="0" w:color="auto"/>
      </w:divBdr>
    </w:div>
    <w:div w:id="207893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СОФИЙСКИ УНИВЕРСИТЕТ „СВ</vt:lpstr>
    </vt:vector>
  </TitlesOfParts>
  <Company>SU</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СОФИЙСКИ УНИВЕРСИТЕТ „СВ</dc:title>
  <dc:subject/>
  <dc:creator>UO3</dc:creator>
  <cp:keywords/>
  <dc:description/>
  <cp:lastModifiedBy>Katya</cp:lastModifiedBy>
  <cp:revision>3</cp:revision>
  <cp:lastPrinted>2022-12-14T11:44:00Z</cp:lastPrinted>
  <dcterms:created xsi:type="dcterms:W3CDTF">2024-04-18T09:41:00Z</dcterms:created>
  <dcterms:modified xsi:type="dcterms:W3CDTF">2024-04-18T13:04:00Z</dcterms:modified>
</cp:coreProperties>
</file>